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Latency Budget and Re-timed Simulation Results</w:t>
      </w:r>
    </w:p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End-to-End Latency Budget of the CNN-LSTM Control Chain</w:t>
      </w: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00"/>
      </w:tblGrid>
      <w:tr>
        <w:trPr>
          <w:tblHeader/>
        </w:trPr>
        <w:tc>
          <w:tcPr>
            <w:tcW w:type="dxa" w:w="5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2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Time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PMU observation window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500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1.9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inference (CPU, mean)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17.3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Decision available after onset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519.2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Communication delay (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0–500 ms (examined)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 response time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&lt; 30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 response time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 150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Total to STATCOM corrective action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 549 ms +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Total to SVC corrective action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 669 ms +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</w:p>
        </w:tc>
      </w:tr>
    </w:tbl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II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Event and Corrective-Action Instants Used in Each Figure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250"/>
        <w:gridCol w:w="1350"/>
        <w:gridCol w:w="1300"/>
        <w:gridCol w:w="1480"/>
        <w:gridCol w:w="1480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Figure</w:t>
            </w:r>
          </w:p>
        </w:tc>
        <w:tc>
          <w:tcPr>
            <w:tcW w:type="dxa" w:w="125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Device</w:t>
            </w:r>
          </w:p>
        </w:tc>
        <w:tc>
          <w:tcPr>
            <w:tcW w:type="dxa" w:w="135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Disturbance (s)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Decision (s)</w:t>
            </w:r>
          </w:p>
        </w:tc>
        <w:tc>
          <w:tcPr>
            <w:tcW w:type="dxa" w:w="148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Action,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=0 (s)</w:t>
            </w:r>
          </w:p>
        </w:tc>
        <w:tc>
          <w:tcPr>
            <w:tcW w:type="dxa" w:w="148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Action,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=200 ms (s)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Rotor angle, G1/G4/G7/G10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Rotor angle, G1/G4/G7/G10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System frequency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1.369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Two-panel Δδ (G10)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Two-panel Δδ (G10)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(wind variability)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1.369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collapse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1.369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Frequency deviation (9/39/118-bus)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Frequency and ROCOF (UFLS)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1.369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Generator and BESS power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BESS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 (ramp 250 MW/s)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1.219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G10 NC / CC / PF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G10 delay sensitivity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 +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 saturation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0.25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0.799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 w:before="60"/>
      </w:pP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Action instant = disturbance + 519.2 ms + device response (30 ms STATCOM, 150 ms SVC) + Tcomm.</w:t>
      </w:r>
    </w:p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III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Key Results of the Re-timed Figures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2000"/>
        <w:gridCol w:w="2060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Figure</w:t>
            </w:r>
          </w:p>
        </w:tc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Case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Rotor angle (G10)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Loses synchronism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52.9°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117.4°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97.1°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System frequency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48.30 Hz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Conventional PI-AGC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49.10 Hz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+ 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 / 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48.30 Hz (before action)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Two-panel Δδ (G10)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20.7°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43.1°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34.6°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(wind variability)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SG-only baseline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0.889 p.u. / 1.0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50% RES, no control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0.831 p.u. / 4.2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+ 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0.859 p.u. / 1.4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+ 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0.843 p.u. / 1.4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collapse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Final state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Collapse &lt; 0.60 p.u.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final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0.785 / 0.86 p.u.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0.858 p.u. / 1.0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0.827 p.u. / 1.5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Frequency deviation (a), 39-bus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 / PI-AGC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Δf 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−1.70 / −0.90 Hz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+ SVC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Δf 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−1.70 Hz (before action)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Frequency deviation (b)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 / 39 / 118-bus, CNN-LSTM + SVC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Δf 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−0.57 / −0.67 / −0.75 Hz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 / 39 / 118-bus, second dip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 → CNN-LSTM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−0.27/−0.31/−0.35 → ≈ −0.04 Hz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Frequency and ROCOF (UFLS)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UFLS / |ROCOF|max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48.02 Hz / stages 1+2 / 2.48 Hz/s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CC/PI-AGC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UFLS / |ROCOF|max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48.22 Hz / stages 1+2 / 2.45 Hz/s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UFLS / |ROCOF|max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48.28 Hz / stages 1+2 / 2.48 Hz/s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UFLS / |ROCOF|max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48.09 Hz / stages 1+2 / 2.48 Hz/s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All cases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UFLS-1 / UFLS-2 pickup (NC)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0.92 s / 1.13 s (before SVC action)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Generator and BESS power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BESS Bus 3 / Bus 29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Full output reached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1.219 s / 1.331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BESS total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Delivered in first-swing window (0.50–0.70 s)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MW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G10 NC / CC / PF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Loss of synchronism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1.44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Loss of synchronism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1.68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51.6°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79.5°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 saturation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Case T alone (140 Mvar)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 / margin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64.9° / 115°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Combined (205 Mvar demand, capped 150)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 / margin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81.2° / 99°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Combined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Saturation window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0.809–1.59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180° crossing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1.70 s</w:t>
            </w:r>
          </w:p>
        </w:tc>
      </w:tr>
    </w:tbl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IV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Communication-Delay Sensitivity of G10 Transient Stability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000"/>
        <w:gridCol w:w="2000"/>
        <w:gridCol w:w="186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/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 (ms)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STATCOM action (s)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STATCOM peak δ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SVC action (s)</w:t>
            </w:r>
          </w:p>
        </w:tc>
        <w:tc>
          <w:tcPr>
            <w:tcW w:type="dxa" w:w="1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SVC peak δ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52.9°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97.1°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66.2°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116.4°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81.8°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136.2°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99.3°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156.1°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117.4°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135.3°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152.0°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400–500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1.049–1.149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1.169–1.269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</w:tbl>
    <w:p>
      <w:pPr>
        <w:spacing w:after="120" w:before="60"/>
      </w:pP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Critical Tcomm ≈ 342 ms for STATCOM (≈ 891 ms total after fault onset) and ≈ 150–200 ms for SVC.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2026-10-02T09:58:15.374Z</dcterms:created>
  <dcterms:modified xsi:type="dcterms:W3CDTF">2026-10-02T09:58:15.374Z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