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Latency Budget and Re-timed Simulation Results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End-to-End Latency Budget of the CNN-LSTM Control Chain</w:t>
      </w: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</w:tblGrid>
      <w:tr>
        <w:trPr>
          <w:tblHeader/>
        </w:trPr>
        <w:tc>
          <w:tcPr>
            <w:tcW w:type="dxa" w:w="5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PMU observation window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1.9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inference (CPU, mean)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17.3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Decision available after onset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519.2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Communication delay (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0–500 ms (examined)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&lt; 30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 response time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150 ms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STATCOM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549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Total to SVC corrective action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 669 ms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Event and Corrective-Action Instants Used in Each Figure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50"/>
        <w:gridCol w:w="1350"/>
        <w:gridCol w:w="1300"/>
        <w:gridCol w:w="1480"/>
        <w:gridCol w:w="1480"/>
      </w:tblGrid>
      <w:tr>
        <w:trPr>
          <w:tblHeader/>
        </w:trPr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12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Device</w:t>
            </w:r>
          </w:p>
        </w:tc>
        <w:tc>
          <w:tcPr>
            <w:tcW w:type="dxa" w:w="135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Disturbance (s)</w:t>
            </w:r>
          </w:p>
        </w:tc>
        <w:tc>
          <w:tcPr>
            <w:tcW w:type="dxa" w:w="1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=0 (s)</w:t>
            </w:r>
          </w:p>
        </w:tc>
        <w:tc>
          <w:tcPr>
            <w:tcW w:type="dxa" w:w="1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Action,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=200 ms (s)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angle, G1/G4/G7/G10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0.50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1.369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G10 delay sensitivity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0.10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0.619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 +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</w:t>
            </w:r>
          </w:p>
        </w:tc>
        <w:tc>
          <w:tcPr>
            <w:tcW w:type="dxa" w:w="135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0.25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Action instant = disturbance + 519.2 ms + device response (30 ms STATCOM, 150 ms SVC) + Tcomm.</w:t>
      </w:r>
    </w:p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III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Key Results of the Re-timed Figures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000"/>
        <w:gridCol w:w="20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Figure</w:t>
            </w:r>
          </w:p>
        </w:tc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Case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2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Rotor angle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Loses synchronism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System frequency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Conventional PI-AGC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49.10 Hz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 / 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48.30 Hz (before action)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Two-panel Δδ (G10)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20.7°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43.1°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Δδ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34.6°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(wind variability)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SG-only 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0.889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50% RES, 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0.831 p.u. / 4.2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0.859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CNN-LSTM + SVC,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0.843 p.u. / 1.4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Bus 44 voltage collapse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Final state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Collapse &lt; 0.60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CC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final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0.785 / 0.86 p.u.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0.858 p.u. / 1.0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PF, 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=200 ms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Nadir / time &lt; 0.90 p.u.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0.827 p.u. / 1.5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STATCOM saturation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Case T alone (140 Mvar)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64.9° / 115°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 (205 Mvar demand, capped 150)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Peak δ / margin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81.2° / 99°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Combined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Saturation window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0.809–1.59 s</w:t>
            </w:r>
          </w:p>
        </w:tc>
      </w:tr>
      <w:t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 control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180° crossing</w:t>
            </w:r>
          </w:p>
        </w:tc>
        <w:tc>
          <w:tcPr>
            <w:tcW w:type="dxa" w:w="20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1.70 s</w:t>
            </w:r>
          </w:p>
        </w:tc>
      </w:tr>
    </w:tbl>
    <w:p>
      <w:pPr>
        <w:spacing w:after="0" w:before="28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TABLE IV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mallCaps/>
          <w:sz w:val="18"/>
          <w:szCs w:val="18"/>
        </w:rPr>
        <w:t xml:space="preserve">Communication-Delay Sensitivity of G10 Transient Stability</w:t>
      </w:r>
    </w:p>
    <w:tbl>
      <w:tblPr>
        <w:tblW w:type="dxa" w:w="93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000"/>
        <w:gridCol w:w="2000"/>
        <w:gridCol w:w="18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  <w:vertAlign w:val="subscript"/>
              </w:rPr>
              <w:t xml:space="preserve">comm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 (ms)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action (s)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STATCOM peak δ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action (s)</w:t>
            </w:r>
          </w:p>
        </w:tc>
        <w:tc>
          <w:tcPr>
            <w:tcW w:type="dxa" w:w="18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SVC peak δ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52.9°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97.1°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0.699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66.2°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116.4°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81.8°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136.2°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0.799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99.3°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156.1° (stable)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117.4°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0.899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135.3°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152.0° (stable)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350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0.999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1.119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400–500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1.049–1.149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1.169–1.269</w:t>
            </w:r>
          </w:p>
        </w:tc>
        <w:tc>
          <w:tcPr>
            <w:tcW w:type="dxa" w:w="186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Unstable</w:t>
            </w:r>
          </w:p>
        </w:tc>
      </w:tr>
    </w:tbl>
    <w:p>
      <w:pPr>
        <w:spacing w:after="120" w:before="60"/>
      </w:pP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Critical Tcomm ≈ 342 ms for STATCOM (≈ 891 ms total after fault onset) and ≈ 150–200 ms for SVC.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2026-10-02T09:47:46.991Z</dcterms:created>
  <dcterms:modified xsi:type="dcterms:W3CDTF">2026-10-02T09:47:46.991Z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