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51019" w14:textId="633F1250" w:rsidR="00716E66" w:rsidRPr="00D74177" w:rsidRDefault="00716E66" w:rsidP="00D74177">
      <w:pPr>
        <w:pStyle w:val="Heading1"/>
        <w:rPr>
          <w:b/>
        </w:rPr>
      </w:pPr>
      <w:r w:rsidRPr="00D74177">
        <w:rPr>
          <w:b/>
        </w:rPr>
        <w:t>Executive Summary</w:t>
      </w:r>
    </w:p>
    <w:p w14:paraId="346E2B7B" w14:textId="2CA5983E" w:rsidR="002D0A12" w:rsidRPr="00FE0ED3" w:rsidRDefault="00816A5C" w:rsidP="00FE0ED3">
      <w:pPr>
        <w:spacing w:line="240" w:lineRule="auto"/>
        <w:jc w:val="both"/>
        <w:rPr>
          <w:rFonts w:cstheme="minorHAnsi"/>
        </w:rPr>
      </w:pPr>
      <w:r w:rsidRPr="00FE0ED3">
        <w:rPr>
          <w:rFonts w:cstheme="minorHAnsi"/>
        </w:rPr>
        <w:t>In our project, we conducted a thorough analysis for the demand of beer bottles at Titanium Brewery</w:t>
      </w:r>
      <w:r w:rsidR="003C09F9" w:rsidRPr="00FE0ED3">
        <w:rPr>
          <w:rFonts w:cstheme="minorHAnsi"/>
        </w:rPr>
        <w:t>, located in the southern Caribbean Island of Trinidad</w:t>
      </w:r>
      <w:r w:rsidR="00630432" w:rsidRPr="00FE0ED3">
        <w:rPr>
          <w:rFonts w:cstheme="minorHAnsi"/>
        </w:rPr>
        <w:t xml:space="preserve">. </w:t>
      </w:r>
      <w:r w:rsidR="002D0A12" w:rsidRPr="00FE0ED3">
        <w:rPr>
          <w:rFonts w:cstheme="minorHAnsi"/>
        </w:rPr>
        <w:t xml:space="preserve">To suffice our forecasting values, we </w:t>
      </w:r>
      <w:r w:rsidR="00630432" w:rsidRPr="00FE0ED3">
        <w:rPr>
          <w:rFonts w:cstheme="minorHAnsi"/>
        </w:rPr>
        <w:t>collected</w:t>
      </w:r>
      <w:r w:rsidR="002D0A12" w:rsidRPr="00FE0ED3">
        <w:rPr>
          <w:rFonts w:cstheme="minorHAnsi"/>
        </w:rPr>
        <w:t xml:space="preserve"> the monthly historical data from </w:t>
      </w:r>
      <w:r w:rsidR="00063ECC" w:rsidRPr="00FE0ED3">
        <w:rPr>
          <w:rFonts w:cstheme="minorHAnsi"/>
        </w:rPr>
        <w:t>January 1999 to February 2004 (in thousands of cases)</w:t>
      </w:r>
      <w:r w:rsidR="002D0A12" w:rsidRPr="00FE0ED3">
        <w:rPr>
          <w:rFonts w:cstheme="minorHAnsi"/>
        </w:rPr>
        <w:t xml:space="preserve">. Then, we have utilized the application “Forecast Pro” to get actionable insights for any possible trend, seasonal, or cyclical patterns. Per requirement, we withheld 8 months of data and performed the </w:t>
      </w:r>
      <w:r w:rsidR="00406EE0" w:rsidRPr="00FE0ED3">
        <w:rPr>
          <w:rFonts w:cstheme="minorHAnsi"/>
        </w:rPr>
        <w:t>Exponential Smoothing</w:t>
      </w:r>
      <w:r w:rsidR="002D0A12" w:rsidRPr="00FE0ED3">
        <w:rPr>
          <w:rFonts w:cstheme="minorHAnsi"/>
        </w:rPr>
        <w:t xml:space="preserve"> </w:t>
      </w:r>
      <w:r w:rsidR="00406EE0" w:rsidRPr="00FE0ED3">
        <w:rPr>
          <w:rFonts w:cstheme="minorHAnsi"/>
        </w:rPr>
        <w:t>m</w:t>
      </w:r>
      <w:r w:rsidR="002D0A12" w:rsidRPr="00FE0ED3">
        <w:rPr>
          <w:rFonts w:cstheme="minorHAnsi"/>
        </w:rPr>
        <w:t>ethod to produce a forecast. From our analysis, we have narrowed down some possible forecasting methods, and then we ranked each method based on their fit and accuracy measures.</w:t>
      </w:r>
      <w:r w:rsidR="00A71C45" w:rsidRPr="00FE0ED3">
        <w:rPr>
          <w:rFonts w:cstheme="minorHAnsi"/>
        </w:rPr>
        <w:t xml:space="preserve"> By observing MAPE for all the methods, a measure of predicting accuracy of a forecasting method, the Winter’s Exponential Smoothing method has comparatively the lowest value of 1</w:t>
      </w:r>
      <w:r w:rsidR="005B26A3" w:rsidRPr="00FE0ED3">
        <w:rPr>
          <w:rFonts w:cstheme="minorHAnsi"/>
        </w:rPr>
        <w:t>0</w:t>
      </w:r>
      <w:r w:rsidR="00A71C45" w:rsidRPr="00FE0ED3">
        <w:rPr>
          <w:rFonts w:cstheme="minorHAnsi"/>
        </w:rPr>
        <w:t>.</w:t>
      </w:r>
      <w:r w:rsidR="005B26A3" w:rsidRPr="00FE0ED3">
        <w:rPr>
          <w:rFonts w:cstheme="minorHAnsi"/>
        </w:rPr>
        <w:t>3</w:t>
      </w:r>
      <w:r w:rsidR="00A71C45" w:rsidRPr="00FE0ED3">
        <w:rPr>
          <w:rFonts w:cstheme="minorHAnsi"/>
        </w:rPr>
        <w:t>6%.</w:t>
      </w:r>
      <w:r w:rsidR="00672476" w:rsidRPr="00FE0ED3">
        <w:rPr>
          <w:rFonts w:cstheme="minorHAnsi"/>
        </w:rPr>
        <w:t xml:space="preserve"> Also,</w:t>
      </w:r>
      <w:r w:rsidR="007D4C01" w:rsidRPr="00FE0ED3">
        <w:rPr>
          <w:rFonts w:cstheme="minorHAnsi"/>
        </w:rPr>
        <w:t xml:space="preserve"> </w:t>
      </w:r>
      <w:r w:rsidR="00A71C45" w:rsidRPr="00FE0ED3">
        <w:rPr>
          <w:rFonts w:cstheme="minorHAnsi"/>
        </w:rPr>
        <w:t>Hence</w:t>
      </w:r>
      <w:r w:rsidR="002D0A12" w:rsidRPr="00FE0ED3">
        <w:rPr>
          <w:rFonts w:cstheme="minorHAnsi"/>
        </w:rPr>
        <w:t xml:space="preserve">, Winter’s Exponential Smoothing method with an additive seasonality appeared to be the most accurate and fits the data correctly. As the purchasing managers at </w:t>
      </w:r>
      <w:r w:rsidR="002D0A12" w:rsidRPr="00FE0ED3">
        <w:rPr>
          <w:rStyle w:val="highlight"/>
          <w:rFonts w:cstheme="minorHAnsi"/>
        </w:rPr>
        <w:t>Banged</w:t>
      </w:r>
      <w:r w:rsidR="002D0A12" w:rsidRPr="00FE0ED3">
        <w:rPr>
          <w:rFonts w:cstheme="minorHAnsi"/>
        </w:rPr>
        <w:t xml:space="preserve">-Tail Bikes, </w:t>
      </w:r>
      <w:r w:rsidR="002D0A12" w:rsidRPr="00C32673">
        <w:rPr>
          <w:rFonts w:cstheme="minorHAnsi"/>
          <w:b/>
          <w:highlight w:val="yellow"/>
        </w:rPr>
        <w:t>we recommend</w:t>
      </w:r>
      <w:r w:rsidR="002D0A12" w:rsidRPr="00FE0ED3">
        <w:rPr>
          <w:rFonts w:cstheme="minorHAnsi"/>
          <w:b/>
        </w:rPr>
        <w:t xml:space="preserve"> ……………………………………………….</w:t>
      </w:r>
      <w:r w:rsidR="00630432" w:rsidRPr="00FE0ED3">
        <w:rPr>
          <w:rFonts w:cstheme="minorHAnsi"/>
          <w:b/>
        </w:rPr>
        <w:t xml:space="preserve">……………………………………………………………………………………………………………………………………………… </w:t>
      </w:r>
      <w:r w:rsidR="00630432" w:rsidRPr="00FE0ED3">
        <w:rPr>
          <w:rFonts w:cstheme="minorHAnsi"/>
        </w:rPr>
        <w:t xml:space="preserve">The following report demonstrates our analysis in a detailed manner, explaining each step of our study and how we </w:t>
      </w:r>
      <w:r w:rsidR="00A71C45" w:rsidRPr="00FE0ED3">
        <w:rPr>
          <w:rFonts w:cstheme="minorHAnsi"/>
        </w:rPr>
        <w:t>reached</w:t>
      </w:r>
      <w:r w:rsidR="00630432" w:rsidRPr="00FE0ED3">
        <w:rPr>
          <w:rFonts w:cstheme="minorHAnsi"/>
        </w:rPr>
        <w:t xml:space="preserve"> our conclusion.</w:t>
      </w:r>
    </w:p>
    <w:p w14:paraId="15BABC88" w14:textId="4EDBC82B" w:rsidR="00716E66" w:rsidRPr="00D74177" w:rsidRDefault="00716E66" w:rsidP="00D74177">
      <w:pPr>
        <w:pStyle w:val="Heading1"/>
        <w:rPr>
          <w:b/>
        </w:rPr>
      </w:pPr>
      <w:r w:rsidRPr="00D74177">
        <w:rPr>
          <w:b/>
        </w:rPr>
        <w:t>Objective</w:t>
      </w:r>
    </w:p>
    <w:p w14:paraId="455B4DC7" w14:textId="2E15815D" w:rsidR="0008150C" w:rsidRPr="00FE0ED3" w:rsidRDefault="009214D0" w:rsidP="00FE0ED3">
      <w:pPr>
        <w:spacing w:line="240" w:lineRule="auto"/>
        <w:jc w:val="both"/>
        <w:rPr>
          <w:rFonts w:cstheme="minorHAnsi"/>
        </w:rPr>
      </w:pPr>
      <w:r w:rsidRPr="00FE0ED3">
        <w:rPr>
          <w:rFonts w:cstheme="minorHAnsi"/>
        </w:rPr>
        <w:t xml:space="preserve">The forecasting problem for the Titanium Brewery is that they are trying to determine how many beer bottles to </w:t>
      </w:r>
      <w:r w:rsidR="00654C6B" w:rsidRPr="00FE0ED3">
        <w:rPr>
          <w:rFonts w:cstheme="minorHAnsi"/>
        </w:rPr>
        <w:t xml:space="preserve">order </w:t>
      </w:r>
      <w:r w:rsidRPr="00FE0ED3">
        <w:rPr>
          <w:rFonts w:cstheme="minorHAnsi"/>
        </w:rPr>
        <w:t>in the year</w:t>
      </w:r>
      <w:r w:rsidR="00654C6B" w:rsidRPr="00FE0ED3">
        <w:rPr>
          <w:rFonts w:cstheme="minorHAnsi"/>
        </w:rPr>
        <w:t xml:space="preserve"> 2004, accommodating the year’s supply comfortably while minimizing the year end inventories</w:t>
      </w:r>
      <w:r w:rsidRPr="00FE0ED3">
        <w:rPr>
          <w:rFonts w:cstheme="minorHAnsi"/>
        </w:rPr>
        <w:t>.</w:t>
      </w:r>
      <w:r w:rsidR="00654C6B" w:rsidRPr="00FE0ED3">
        <w:rPr>
          <w:rFonts w:cstheme="minorHAnsi"/>
        </w:rPr>
        <w:t xml:space="preserve"> Because the covered storage space for empty bottles is tight and a bottle design change is expected in 2005 and 2006. The under-forecasting or over-forecasting (sales) both could be costly situations and hence we need to be to have a good basis before making </w:t>
      </w:r>
      <w:r w:rsidR="007D4C01" w:rsidRPr="00FE0ED3">
        <w:rPr>
          <w:rFonts w:cstheme="minorHAnsi"/>
        </w:rPr>
        <w:t>any order</w:t>
      </w:r>
      <w:r w:rsidR="00654C6B" w:rsidRPr="00FE0ED3">
        <w:rPr>
          <w:rFonts w:cstheme="minorHAnsi"/>
        </w:rPr>
        <w:t>.</w:t>
      </w:r>
      <w:r w:rsidR="007D4C01" w:rsidRPr="00FE0ED3">
        <w:rPr>
          <w:rFonts w:cstheme="minorHAnsi"/>
        </w:rPr>
        <w:t xml:space="preserve"> If sales do exceed, Titanium Brewery must expand their storage space. </w:t>
      </w:r>
      <w:r w:rsidR="00980AC3" w:rsidRPr="00FE0ED3">
        <w:rPr>
          <w:rFonts w:cstheme="minorHAnsi"/>
        </w:rPr>
        <w:t>T</w:t>
      </w:r>
      <w:r w:rsidR="007D4C01" w:rsidRPr="00FE0ED3">
        <w:rPr>
          <w:rFonts w:cstheme="minorHAnsi"/>
        </w:rPr>
        <w:t xml:space="preserve">hey must also consider by how much the quarterly sales exceed, for how many quarters the sales will exceed, and finally whether exceeding </w:t>
      </w:r>
      <w:r w:rsidR="00980AC3" w:rsidRPr="00FE0ED3">
        <w:rPr>
          <w:rFonts w:cstheme="minorHAnsi"/>
        </w:rPr>
        <w:t>the sales</w:t>
      </w:r>
      <w:r w:rsidR="007D4C01" w:rsidRPr="00FE0ED3">
        <w:rPr>
          <w:rFonts w:cstheme="minorHAnsi"/>
        </w:rPr>
        <w:t xml:space="preserve"> in </w:t>
      </w:r>
      <w:proofErr w:type="gramStart"/>
      <w:r w:rsidR="007D4C01" w:rsidRPr="00FE0ED3">
        <w:rPr>
          <w:rFonts w:cstheme="minorHAnsi"/>
        </w:rPr>
        <w:t>a</w:t>
      </w:r>
      <w:r w:rsidR="00980AC3" w:rsidRPr="00FE0ED3">
        <w:rPr>
          <w:rFonts w:cstheme="minorHAnsi"/>
        </w:rPr>
        <w:t>n</w:t>
      </w:r>
      <w:proofErr w:type="gramEnd"/>
      <w:r w:rsidR="00980AC3" w:rsidRPr="00FE0ED3">
        <w:rPr>
          <w:rFonts w:cstheme="minorHAnsi"/>
        </w:rPr>
        <w:t xml:space="preserve"> year </w:t>
      </w:r>
      <w:r w:rsidR="007D4C01" w:rsidRPr="00FE0ED3">
        <w:rPr>
          <w:rFonts w:cstheme="minorHAnsi"/>
        </w:rPr>
        <w:t>will be a short-term situation or if it will be a permanent state. Below is a graphical frame work that illustrates how our decision making is related to forecasting</w:t>
      </w:r>
      <w:r w:rsidR="00FE0ED3" w:rsidRPr="00FE0ED3">
        <w:rPr>
          <w:rFonts w:cstheme="minorHAnsi"/>
        </w:rPr>
        <w:t>.</w:t>
      </w:r>
    </w:p>
    <w:p w14:paraId="28285ECD" w14:textId="0A109146" w:rsidR="0008150C" w:rsidRPr="00FE0ED3" w:rsidRDefault="00A2077B" w:rsidP="007B0D58">
      <w:pPr>
        <w:spacing w:line="240" w:lineRule="auto"/>
        <w:jc w:val="center"/>
        <w:rPr>
          <w:rFonts w:cstheme="minorHAnsi"/>
          <w:b/>
        </w:rPr>
      </w:pPr>
      <w:r w:rsidRPr="00FE0ED3">
        <w:rPr>
          <w:rFonts w:cstheme="minorHAnsi"/>
          <w:noProof/>
        </w:rPr>
        <w:drawing>
          <wp:inline distT="0" distB="0" distL="0" distR="0" wp14:anchorId="292A55E7" wp14:editId="5928AE2C">
            <wp:extent cx="5943600" cy="46196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ive - Graphical Framework.jpg"/>
                    <pic:cNvPicPr/>
                  </pic:nvPicPr>
                  <pic:blipFill rotWithShape="1">
                    <a:blip r:embed="rId5">
                      <a:extLst>
                        <a:ext uri="{28A0092B-C50C-407E-A947-70E740481C1C}">
                          <a14:useLocalDpi xmlns:a14="http://schemas.microsoft.com/office/drawing/2010/main" val="0"/>
                        </a:ext>
                      </a:extLst>
                    </a:blip>
                    <a:srcRect t="3686" b="27565"/>
                    <a:stretch/>
                  </pic:blipFill>
                  <pic:spPr bwMode="auto">
                    <a:xfrm>
                      <a:off x="0" y="0"/>
                      <a:ext cx="5943600" cy="461962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3DD48B4" w14:textId="77777777" w:rsidR="00D74177" w:rsidRDefault="00D74177">
      <w:pPr>
        <w:rPr>
          <w:rFonts w:cstheme="minorHAnsi"/>
        </w:rPr>
      </w:pPr>
      <w:r>
        <w:rPr>
          <w:rFonts w:cstheme="minorHAnsi"/>
        </w:rPr>
        <w:br w:type="page"/>
      </w:r>
    </w:p>
    <w:p w14:paraId="300B3ACC" w14:textId="75B24A67" w:rsidR="00FE0ED3" w:rsidRPr="00FE0ED3" w:rsidRDefault="00FE0ED3" w:rsidP="00FE0ED3">
      <w:pPr>
        <w:spacing w:line="240" w:lineRule="auto"/>
        <w:jc w:val="both"/>
        <w:rPr>
          <w:rFonts w:cstheme="minorHAnsi"/>
        </w:rPr>
      </w:pPr>
      <w:r w:rsidRPr="00FE0ED3">
        <w:rPr>
          <w:rFonts w:cstheme="minorHAnsi"/>
        </w:rPr>
        <w:lastRenderedPageBreak/>
        <w:t>There is a huge impact of the forecast on the accuracy of the decision to be taken to plan the warehouse strategy for the upcoming months. There is a warehouse cost involved if there is excess inventory whereas the company loses sales in case of under production. The cost of under production and losing sales is much higher than the cost of over stock. Therefore, most of the forecasting decisions are made after carefully analyzing the impact of the forecast interval. The forecast interval shows us the possibility of the forecast number of the beer bottles to go above and below the forecast limits. The upper forecast limit of 97.5 indicates that there is a 2.5 % chance that the actual demand of bottles is above the upper limit.</w:t>
      </w:r>
    </w:p>
    <w:p w14:paraId="39DB61DA" w14:textId="77777777" w:rsidR="00FE0ED3" w:rsidRPr="00FE0ED3" w:rsidRDefault="00FE0ED3" w:rsidP="00FE0ED3">
      <w:pPr>
        <w:spacing w:line="240" w:lineRule="auto"/>
        <w:jc w:val="both"/>
        <w:rPr>
          <w:rFonts w:cstheme="minorHAnsi"/>
        </w:rPr>
      </w:pPr>
      <w:r w:rsidRPr="00FE0ED3">
        <w:rPr>
          <w:rFonts w:cstheme="minorHAnsi"/>
        </w:rPr>
        <w:t>We have set the upper limit as 97.5 for our forecast interval. It is very important to justify the impact of the forecasting in the form of cost involved based on the MAPE error %. Let us analyze the implications of over / under forecasting by converting the errors into dollar values. Let us evaluate the monthly sales based on the expert selection forecast for analysis. We have done the calculation based on Case volume of 1,00,000 cases. Below are the assumptions used for calculations.</w:t>
      </w:r>
    </w:p>
    <w:p w14:paraId="3045B573" w14:textId="12D7C3BB" w:rsidR="00FE0ED3" w:rsidRPr="00FE0ED3" w:rsidRDefault="00D74177" w:rsidP="00FE0ED3">
      <w:pPr>
        <w:spacing w:line="240" w:lineRule="auto"/>
        <w:jc w:val="both"/>
        <w:rPr>
          <w:rFonts w:cstheme="minorHAnsi"/>
        </w:rPr>
      </w:pPr>
      <w:r>
        <w:rPr>
          <w:rFonts w:cstheme="minorHAnsi"/>
        </w:rPr>
        <w:t>1 case</w:t>
      </w:r>
      <w:r>
        <w:rPr>
          <w:rFonts w:cstheme="minorHAnsi"/>
        </w:rPr>
        <w:tab/>
        <w:t xml:space="preserve">= </w:t>
      </w:r>
      <w:r w:rsidR="00FE0ED3" w:rsidRPr="00FE0ED3">
        <w:rPr>
          <w:rFonts w:cstheme="minorHAnsi"/>
        </w:rPr>
        <w:t>10 bottles (22 oz. each)</w:t>
      </w:r>
      <w:r w:rsidR="00FE0ED3" w:rsidRPr="00FE0ED3">
        <w:rPr>
          <w:rFonts w:cstheme="minorHAnsi"/>
        </w:rPr>
        <w:tab/>
      </w:r>
      <w:r w:rsidR="00FE0ED3" w:rsidRPr="00FE0ED3">
        <w:rPr>
          <w:rFonts w:cstheme="minorHAnsi"/>
        </w:rPr>
        <w:tab/>
      </w:r>
    </w:p>
    <w:p w14:paraId="7D4EBAAA" w14:textId="1747031F" w:rsidR="00FE0ED3" w:rsidRPr="00FE0ED3" w:rsidRDefault="00FE0ED3" w:rsidP="00FE0ED3">
      <w:pPr>
        <w:spacing w:line="240" w:lineRule="auto"/>
        <w:jc w:val="both"/>
        <w:rPr>
          <w:rFonts w:cstheme="minorHAnsi"/>
        </w:rPr>
      </w:pPr>
      <w:r w:rsidRPr="00FE0ED3">
        <w:rPr>
          <w:rFonts w:cstheme="minorHAnsi"/>
        </w:rPr>
        <w:t>1 pallet</w:t>
      </w:r>
      <w:r w:rsidRPr="00FE0ED3">
        <w:rPr>
          <w:rFonts w:cstheme="minorHAnsi"/>
        </w:rPr>
        <w:tab/>
        <w:t>=</w:t>
      </w:r>
      <w:r w:rsidR="00D74177">
        <w:rPr>
          <w:rFonts w:cstheme="minorHAnsi"/>
        </w:rPr>
        <w:t xml:space="preserve"> </w:t>
      </w:r>
      <w:r w:rsidRPr="00FE0ED3">
        <w:rPr>
          <w:rFonts w:cstheme="minorHAnsi"/>
        </w:rPr>
        <w:t>50 cases</w:t>
      </w:r>
      <w:r w:rsidRPr="00FE0ED3">
        <w:rPr>
          <w:rFonts w:cstheme="minorHAnsi"/>
        </w:rPr>
        <w:tab/>
      </w:r>
      <w:r w:rsidRPr="00FE0ED3">
        <w:rPr>
          <w:rFonts w:cstheme="minorHAnsi"/>
        </w:rPr>
        <w:tab/>
      </w:r>
    </w:p>
    <w:p w14:paraId="505C0D4F" w14:textId="36445F2F" w:rsidR="00FE0ED3" w:rsidRPr="00FE0ED3" w:rsidRDefault="00FE0ED3" w:rsidP="00FE0ED3">
      <w:pPr>
        <w:spacing w:line="240" w:lineRule="auto"/>
        <w:jc w:val="both"/>
        <w:rPr>
          <w:rFonts w:cstheme="minorHAnsi"/>
        </w:rPr>
      </w:pPr>
      <w:r w:rsidRPr="00FE0ED3">
        <w:rPr>
          <w:rFonts w:cstheme="minorHAnsi"/>
        </w:rPr>
        <w:t>Average beer cost =</w:t>
      </w:r>
      <w:r w:rsidR="00D74177">
        <w:rPr>
          <w:rFonts w:cstheme="minorHAnsi"/>
        </w:rPr>
        <w:t xml:space="preserve"> </w:t>
      </w:r>
      <w:r w:rsidRPr="00FE0ED3">
        <w:rPr>
          <w:rFonts w:cstheme="minorHAnsi"/>
        </w:rPr>
        <w:t xml:space="preserve">$1 </w:t>
      </w:r>
      <w:r w:rsidRPr="00FE0ED3">
        <w:rPr>
          <w:rFonts w:cstheme="minorHAnsi"/>
        </w:rPr>
        <w:tab/>
        <w:t>per bottle</w:t>
      </w:r>
    </w:p>
    <w:p w14:paraId="76776BC8" w14:textId="5A306368" w:rsidR="00FE0ED3" w:rsidRPr="00FE0ED3" w:rsidRDefault="00FE0ED3" w:rsidP="00FE0ED3">
      <w:pPr>
        <w:spacing w:line="240" w:lineRule="auto"/>
        <w:jc w:val="both"/>
        <w:rPr>
          <w:rFonts w:cstheme="minorHAnsi"/>
        </w:rPr>
      </w:pPr>
      <w:r w:rsidRPr="00FE0ED3">
        <w:rPr>
          <w:rFonts w:cstheme="minorHAnsi"/>
        </w:rPr>
        <w:t>Warehouse holding cost =</w:t>
      </w:r>
      <w:r w:rsidR="00D74177">
        <w:rPr>
          <w:rFonts w:cstheme="minorHAnsi"/>
        </w:rPr>
        <w:t xml:space="preserve"> </w:t>
      </w:r>
      <w:r w:rsidRPr="00FE0ED3">
        <w:rPr>
          <w:rFonts w:cstheme="minorHAnsi"/>
        </w:rPr>
        <w:t xml:space="preserve">$10 </w:t>
      </w:r>
      <w:r w:rsidRPr="00FE0ED3">
        <w:rPr>
          <w:rFonts w:cstheme="minorHAnsi"/>
        </w:rPr>
        <w:tab/>
        <w:t>per pallet</w:t>
      </w:r>
    </w:p>
    <w:p w14:paraId="5E6EE0EC" w14:textId="4BE0F455" w:rsidR="00FE0ED3" w:rsidRPr="00FE0ED3" w:rsidRDefault="00D74177" w:rsidP="00FE0ED3">
      <w:pPr>
        <w:spacing w:line="240" w:lineRule="auto"/>
        <w:jc w:val="both"/>
        <w:rPr>
          <w:rFonts w:cstheme="minorHAnsi"/>
        </w:rPr>
      </w:pPr>
      <w:r>
        <w:rPr>
          <w:rFonts w:cstheme="minorHAnsi"/>
        </w:rPr>
        <w:t xml:space="preserve">Average profit margin = </w:t>
      </w:r>
      <w:r w:rsidR="00FE0ED3" w:rsidRPr="00FE0ED3">
        <w:rPr>
          <w:rFonts w:cstheme="minorHAnsi"/>
        </w:rPr>
        <w:t>$5</w:t>
      </w:r>
      <w:r w:rsidR="00FE0ED3" w:rsidRPr="00FE0ED3">
        <w:rPr>
          <w:rFonts w:cstheme="minorHAnsi"/>
        </w:rPr>
        <w:tab/>
        <w:t>per case</w:t>
      </w:r>
    </w:p>
    <w:p w14:paraId="5EB7B4F2" w14:textId="77777777" w:rsidR="00FE0ED3" w:rsidRPr="00D74177" w:rsidRDefault="00FE0ED3" w:rsidP="00FE0ED3">
      <w:pPr>
        <w:pStyle w:val="ListParagraph"/>
        <w:numPr>
          <w:ilvl w:val="0"/>
          <w:numId w:val="2"/>
        </w:numPr>
        <w:spacing w:line="240" w:lineRule="auto"/>
        <w:jc w:val="both"/>
        <w:rPr>
          <w:rFonts w:cstheme="minorHAnsi"/>
          <w:b/>
          <w:sz w:val="24"/>
        </w:rPr>
      </w:pPr>
      <w:r w:rsidRPr="00D74177">
        <w:rPr>
          <w:rFonts w:cstheme="minorHAnsi"/>
          <w:b/>
          <w:sz w:val="24"/>
        </w:rPr>
        <w:t>Cost of 1% over production</w:t>
      </w:r>
    </w:p>
    <w:tbl>
      <w:tblPr>
        <w:tblW w:w="7880" w:type="dxa"/>
        <w:jc w:val="center"/>
        <w:tblLook w:val="04A0" w:firstRow="1" w:lastRow="0" w:firstColumn="1" w:lastColumn="0" w:noHBand="0" w:noVBand="1"/>
      </w:tblPr>
      <w:tblGrid>
        <w:gridCol w:w="1420"/>
        <w:gridCol w:w="960"/>
        <w:gridCol w:w="960"/>
        <w:gridCol w:w="960"/>
        <w:gridCol w:w="960"/>
        <w:gridCol w:w="960"/>
        <w:gridCol w:w="1660"/>
      </w:tblGrid>
      <w:tr w:rsidR="00FE0ED3" w:rsidRPr="00FE0ED3" w14:paraId="4ED7A134" w14:textId="77777777" w:rsidTr="007B0D58">
        <w:trPr>
          <w:trHeight w:val="5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13B6F"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Product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D31D8F4"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Case volume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C5CFB5A"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Case excess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623AF7F"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Pallet excess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2106217"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Product cost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9900D14"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Holding cost</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14:paraId="2652BADE"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Total inventory cost per month</w:t>
            </w:r>
          </w:p>
        </w:tc>
      </w:tr>
      <w:tr w:rsidR="00FE0ED3" w:rsidRPr="00FE0ED3" w14:paraId="15081C49" w14:textId="77777777" w:rsidTr="007B0D58">
        <w:trPr>
          <w:trHeight w:val="45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1501777"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Titanium beer</w:t>
            </w:r>
          </w:p>
        </w:tc>
        <w:tc>
          <w:tcPr>
            <w:tcW w:w="960" w:type="dxa"/>
            <w:tcBorders>
              <w:top w:val="nil"/>
              <w:left w:val="nil"/>
              <w:bottom w:val="single" w:sz="4" w:space="0" w:color="auto"/>
              <w:right w:val="single" w:sz="4" w:space="0" w:color="auto"/>
            </w:tcBorders>
            <w:shd w:val="clear" w:color="auto" w:fill="auto"/>
            <w:noWrap/>
            <w:vAlign w:val="bottom"/>
            <w:hideMark/>
          </w:tcPr>
          <w:p w14:paraId="38A10653"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100,000</w:t>
            </w:r>
          </w:p>
        </w:tc>
        <w:tc>
          <w:tcPr>
            <w:tcW w:w="960" w:type="dxa"/>
            <w:tcBorders>
              <w:top w:val="nil"/>
              <w:left w:val="nil"/>
              <w:bottom w:val="single" w:sz="4" w:space="0" w:color="auto"/>
              <w:right w:val="single" w:sz="4" w:space="0" w:color="auto"/>
            </w:tcBorders>
            <w:shd w:val="clear" w:color="auto" w:fill="auto"/>
            <w:noWrap/>
            <w:vAlign w:val="bottom"/>
            <w:hideMark/>
          </w:tcPr>
          <w:p w14:paraId="147C6CAE"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462107A"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1ED3D0"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 xml:space="preserve">$10,000 </w:t>
            </w:r>
          </w:p>
        </w:tc>
        <w:tc>
          <w:tcPr>
            <w:tcW w:w="960" w:type="dxa"/>
            <w:tcBorders>
              <w:top w:val="nil"/>
              <w:left w:val="nil"/>
              <w:bottom w:val="single" w:sz="4" w:space="0" w:color="auto"/>
              <w:right w:val="single" w:sz="4" w:space="0" w:color="auto"/>
            </w:tcBorders>
            <w:shd w:val="clear" w:color="auto" w:fill="auto"/>
            <w:noWrap/>
            <w:vAlign w:val="bottom"/>
            <w:hideMark/>
          </w:tcPr>
          <w:p w14:paraId="56B0B4F1"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 xml:space="preserve">$200 </w:t>
            </w:r>
          </w:p>
        </w:tc>
        <w:tc>
          <w:tcPr>
            <w:tcW w:w="1660" w:type="dxa"/>
            <w:tcBorders>
              <w:top w:val="nil"/>
              <w:left w:val="nil"/>
              <w:bottom w:val="single" w:sz="4" w:space="0" w:color="auto"/>
              <w:right w:val="single" w:sz="4" w:space="0" w:color="auto"/>
            </w:tcBorders>
            <w:shd w:val="clear" w:color="auto" w:fill="auto"/>
            <w:noWrap/>
            <w:vAlign w:val="bottom"/>
            <w:hideMark/>
          </w:tcPr>
          <w:p w14:paraId="541A6E59" w14:textId="77777777" w:rsidR="00FE0ED3" w:rsidRPr="00FE0ED3" w:rsidRDefault="00FE0ED3" w:rsidP="00FE0ED3">
            <w:pPr>
              <w:spacing w:after="0" w:line="240" w:lineRule="auto"/>
              <w:jc w:val="both"/>
              <w:rPr>
                <w:rFonts w:eastAsia="Times New Roman" w:cstheme="minorHAnsi"/>
                <w:b/>
                <w:bCs/>
                <w:color w:val="FF0000"/>
              </w:rPr>
            </w:pPr>
            <w:r w:rsidRPr="00FE0ED3">
              <w:rPr>
                <w:rFonts w:eastAsia="Times New Roman" w:cstheme="minorHAnsi"/>
                <w:b/>
                <w:bCs/>
                <w:color w:val="FF0000"/>
              </w:rPr>
              <w:t xml:space="preserve">$10,200 </w:t>
            </w:r>
          </w:p>
        </w:tc>
      </w:tr>
    </w:tbl>
    <w:p w14:paraId="7EC65B5F" w14:textId="5E744224" w:rsidR="000C3859" w:rsidRPr="00FE0ED3" w:rsidRDefault="000C3859" w:rsidP="007B0D58">
      <w:pPr>
        <w:spacing w:line="240" w:lineRule="auto"/>
        <w:ind w:left="2880" w:firstLine="720"/>
        <w:rPr>
          <w:rFonts w:cstheme="minorHAnsi"/>
        </w:rPr>
      </w:pPr>
      <w:r w:rsidRPr="00FE0ED3">
        <w:rPr>
          <w:rFonts w:cstheme="minorHAnsi"/>
        </w:rPr>
        <w:t>Table 1.</w:t>
      </w:r>
    </w:p>
    <w:tbl>
      <w:tblPr>
        <w:tblW w:w="7918" w:type="dxa"/>
        <w:jc w:val="center"/>
        <w:tblLook w:val="04A0" w:firstRow="1" w:lastRow="0" w:firstColumn="1" w:lastColumn="0" w:noHBand="0" w:noVBand="1"/>
      </w:tblPr>
      <w:tblGrid>
        <w:gridCol w:w="1924"/>
        <w:gridCol w:w="1300"/>
        <w:gridCol w:w="1402"/>
        <w:gridCol w:w="1463"/>
        <w:gridCol w:w="1829"/>
      </w:tblGrid>
      <w:tr w:rsidR="00FE0ED3" w:rsidRPr="00FE0ED3" w14:paraId="5A2BABB0" w14:textId="77777777" w:rsidTr="007B0D58">
        <w:trPr>
          <w:trHeight w:val="595"/>
          <w:jc w:val="center"/>
        </w:trPr>
        <w:tc>
          <w:tcPr>
            <w:tcW w:w="1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2FFC4"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Product</w:t>
            </w:r>
          </w:p>
        </w:tc>
        <w:tc>
          <w:tcPr>
            <w:tcW w:w="1300" w:type="dxa"/>
            <w:tcBorders>
              <w:top w:val="single" w:sz="4" w:space="0" w:color="auto"/>
              <w:left w:val="nil"/>
              <w:bottom w:val="single" w:sz="4" w:space="0" w:color="auto"/>
              <w:right w:val="single" w:sz="4" w:space="0" w:color="auto"/>
            </w:tcBorders>
            <w:shd w:val="clear" w:color="auto" w:fill="auto"/>
            <w:vAlign w:val="bottom"/>
            <w:hideMark/>
          </w:tcPr>
          <w:p w14:paraId="23EAFFC9"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Case volume</w:t>
            </w:r>
          </w:p>
        </w:tc>
        <w:tc>
          <w:tcPr>
            <w:tcW w:w="1402" w:type="dxa"/>
            <w:tcBorders>
              <w:top w:val="single" w:sz="4" w:space="0" w:color="auto"/>
              <w:left w:val="nil"/>
              <w:bottom w:val="single" w:sz="4" w:space="0" w:color="auto"/>
              <w:right w:val="single" w:sz="4" w:space="0" w:color="auto"/>
            </w:tcBorders>
            <w:shd w:val="clear" w:color="auto" w:fill="auto"/>
            <w:vAlign w:val="bottom"/>
            <w:hideMark/>
          </w:tcPr>
          <w:p w14:paraId="096385FC"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1% Case short</w:t>
            </w:r>
          </w:p>
        </w:tc>
        <w:tc>
          <w:tcPr>
            <w:tcW w:w="1463" w:type="dxa"/>
            <w:tcBorders>
              <w:top w:val="single" w:sz="4" w:space="0" w:color="auto"/>
              <w:left w:val="nil"/>
              <w:bottom w:val="single" w:sz="4" w:space="0" w:color="auto"/>
              <w:right w:val="single" w:sz="4" w:space="0" w:color="auto"/>
            </w:tcBorders>
            <w:shd w:val="clear" w:color="auto" w:fill="auto"/>
            <w:vAlign w:val="bottom"/>
            <w:hideMark/>
          </w:tcPr>
          <w:p w14:paraId="4A17BE5B"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1% Pallet short</w:t>
            </w:r>
          </w:p>
        </w:tc>
        <w:tc>
          <w:tcPr>
            <w:tcW w:w="1829" w:type="dxa"/>
            <w:tcBorders>
              <w:top w:val="single" w:sz="4" w:space="0" w:color="auto"/>
              <w:left w:val="nil"/>
              <w:bottom w:val="single" w:sz="4" w:space="0" w:color="auto"/>
              <w:right w:val="single" w:sz="4" w:space="0" w:color="auto"/>
            </w:tcBorders>
            <w:shd w:val="clear" w:color="auto" w:fill="auto"/>
            <w:vAlign w:val="bottom"/>
            <w:hideMark/>
          </w:tcPr>
          <w:p w14:paraId="0BEE908A"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Total loss per month</w:t>
            </w:r>
          </w:p>
        </w:tc>
      </w:tr>
      <w:tr w:rsidR="00FE0ED3" w:rsidRPr="00FE0ED3" w14:paraId="03541E0B" w14:textId="77777777" w:rsidTr="007B0D58">
        <w:trPr>
          <w:trHeight w:val="353"/>
          <w:jc w:val="center"/>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866698F"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Titanium beer</w:t>
            </w:r>
          </w:p>
        </w:tc>
        <w:tc>
          <w:tcPr>
            <w:tcW w:w="1300" w:type="dxa"/>
            <w:tcBorders>
              <w:top w:val="nil"/>
              <w:left w:val="nil"/>
              <w:bottom w:val="single" w:sz="4" w:space="0" w:color="auto"/>
              <w:right w:val="single" w:sz="4" w:space="0" w:color="auto"/>
            </w:tcBorders>
            <w:shd w:val="clear" w:color="auto" w:fill="auto"/>
            <w:noWrap/>
            <w:vAlign w:val="bottom"/>
            <w:hideMark/>
          </w:tcPr>
          <w:p w14:paraId="6BEC7EFE"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100,000</w:t>
            </w:r>
          </w:p>
        </w:tc>
        <w:tc>
          <w:tcPr>
            <w:tcW w:w="1402" w:type="dxa"/>
            <w:tcBorders>
              <w:top w:val="nil"/>
              <w:left w:val="nil"/>
              <w:bottom w:val="single" w:sz="4" w:space="0" w:color="auto"/>
              <w:right w:val="single" w:sz="4" w:space="0" w:color="auto"/>
            </w:tcBorders>
            <w:shd w:val="clear" w:color="auto" w:fill="auto"/>
            <w:noWrap/>
            <w:vAlign w:val="bottom"/>
            <w:hideMark/>
          </w:tcPr>
          <w:p w14:paraId="6AD0D3A0"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,1000</w:t>
            </w:r>
          </w:p>
        </w:tc>
        <w:tc>
          <w:tcPr>
            <w:tcW w:w="1463" w:type="dxa"/>
            <w:tcBorders>
              <w:top w:val="nil"/>
              <w:left w:val="nil"/>
              <w:bottom w:val="single" w:sz="4" w:space="0" w:color="auto"/>
              <w:right w:val="single" w:sz="4" w:space="0" w:color="auto"/>
            </w:tcBorders>
            <w:shd w:val="clear" w:color="auto" w:fill="auto"/>
            <w:noWrap/>
            <w:vAlign w:val="bottom"/>
            <w:hideMark/>
          </w:tcPr>
          <w:p w14:paraId="68539CFB"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20</w:t>
            </w:r>
          </w:p>
        </w:tc>
        <w:tc>
          <w:tcPr>
            <w:tcW w:w="1829" w:type="dxa"/>
            <w:tcBorders>
              <w:top w:val="nil"/>
              <w:left w:val="nil"/>
              <w:bottom w:val="single" w:sz="4" w:space="0" w:color="auto"/>
              <w:right w:val="single" w:sz="4" w:space="0" w:color="auto"/>
            </w:tcBorders>
            <w:shd w:val="clear" w:color="auto" w:fill="auto"/>
            <w:noWrap/>
            <w:vAlign w:val="bottom"/>
            <w:hideMark/>
          </w:tcPr>
          <w:p w14:paraId="6ABA2CC3" w14:textId="77777777" w:rsidR="00FE0ED3" w:rsidRPr="00FE0ED3" w:rsidRDefault="00FE0ED3" w:rsidP="00FE0ED3">
            <w:pPr>
              <w:spacing w:after="0" w:line="240" w:lineRule="auto"/>
              <w:jc w:val="both"/>
              <w:rPr>
                <w:rFonts w:eastAsia="Times New Roman" w:cstheme="minorHAnsi"/>
                <w:b/>
                <w:bCs/>
                <w:color w:val="FF0000"/>
              </w:rPr>
            </w:pPr>
            <w:r w:rsidRPr="00FE0ED3">
              <w:rPr>
                <w:rFonts w:eastAsia="Times New Roman" w:cstheme="minorHAnsi"/>
                <w:b/>
                <w:bCs/>
                <w:color w:val="FF0000"/>
              </w:rPr>
              <w:t xml:space="preserve">$5,000 </w:t>
            </w:r>
          </w:p>
        </w:tc>
      </w:tr>
    </w:tbl>
    <w:p w14:paraId="4D11405F" w14:textId="28E37935" w:rsidR="00FE0ED3" w:rsidRPr="00FE0ED3" w:rsidRDefault="007B0D58" w:rsidP="007B0D58">
      <w:pPr>
        <w:spacing w:line="240" w:lineRule="auto"/>
        <w:ind w:left="2160"/>
        <w:jc w:val="both"/>
        <w:rPr>
          <w:rFonts w:cstheme="minorHAnsi"/>
        </w:rPr>
      </w:pPr>
      <w:r>
        <w:rPr>
          <w:rFonts w:cstheme="minorHAnsi"/>
        </w:rPr>
        <w:t xml:space="preserve">     </w:t>
      </w:r>
      <w:r>
        <w:rPr>
          <w:rFonts w:cstheme="minorHAnsi"/>
        </w:rPr>
        <w:tab/>
      </w:r>
      <w:r>
        <w:rPr>
          <w:rFonts w:cstheme="minorHAnsi"/>
        </w:rPr>
        <w:tab/>
      </w:r>
      <w:r w:rsidR="000C3859" w:rsidRPr="00FE0ED3">
        <w:rPr>
          <w:rFonts w:cstheme="minorHAnsi"/>
        </w:rPr>
        <w:t>Table 2.</w:t>
      </w:r>
    </w:p>
    <w:p w14:paraId="29DF5515" w14:textId="77777777" w:rsidR="00FE0ED3" w:rsidRPr="00FE0ED3" w:rsidRDefault="00FE0ED3" w:rsidP="00FE0ED3">
      <w:pPr>
        <w:spacing w:line="240" w:lineRule="auto"/>
        <w:jc w:val="both"/>
        <w:rPr>
          <w:rFonts w:cstheme="minorHAnsi"/>
        </w:rPr>
      </w:pPr>
      <w:r w:rsidRPr="00FE0ED3">
        <w:rPr>
          <w:rFonts w:cstheme="minorHAnsi"/>
        </w:rPr>
        <w:t xml:space="preserve">Our calculations in Table 1 and Table 2 show that a 1% over forecasting error will result in a loss of $10,200. An under forecasting of 1 % results in a loss of $5,000 for a case volume of 100,000. This calculation has been shown for a case volume of 1,00,000. </w:t>
      </w:r>
    </w:p>
    <w:p w14:paraId="77CFC591" w14:textId="77777777" w:rsidR="00FE0ED3" w:rsidRPr="00FE0ED3" w:rsidRDefault="00FE0ED3" w:rsidP="00FE0ED3">
      <w:pPr>
        <w:spacing w:line="240" w:lineRule="auto"/>
        <w:jc w:val="both"/>
        <w:rPr>
          <w:rFonts w:cstheme="minorHAnsi"/>
        </w:rPr>
      </w:pPr>
      <w:r w:rsidRPr="00FE0ED3">
        <w:rPr>
          <w:rFonts w:cstheme="minorHAnsi"/>
        </w:rPr>
        <w:t xml:space="preserve">Let us consider the result of the holdout analysis that we performed using the expert selection method of forecast pro in our analysis. </w:t>
      </w:r>
    </w:p>
    <w:p w14:paraId="78DB3BB1" w14:textId="77777777" w:rsidR="00FE0ED3" w:rsidRPr="00FE0ED3" w:rsidRDefault="00FE0ED3" w:rsidP="00FE0ED3">
      <w:pPr>
        <w:spacing w:line="240" w:lineRule="auto"/>
        <w:jc w:val="both"/>
        <w:rPr>
          <w:rFonts w:cstheme="minorHAnsi"/>
        </w:rPr>
      </w:pPr>
      <w:r w:rsidRPr="00FE0ED3">
        <w:rPr>
          <w:rFonts w:cstheme="minorHAnsi"/>
        </w:rPr>
        <w:t>The statistics represented in Table 3 below shows the comparison of our forecast generated by using the holdout analysis and the actual sales numbers. The accuracy is tested by using the last 8 months of observations. We are using the observation for the months of November and December 2003 to explain the cost of forecasting errors below.</w:t>
      </w:r>
    </w:p>
    <w:tbl>
      <w:tblPr>
        <w:tblW w:w="7981" w:type="dxa"/>
        <w:jc w:val="center"/>
        <w:tblLook w:val="04A0" w:firstRow="1" w:lastRow="0" w:firstColumn="1" w:lastColumn="0" w:noHBand="0" w:noVBand="1"/>
      </w:tblPr>
      <w:tblGrid>
        <w:gridCol w:w="1814"/>
        <w:gridCol w:w="1226"/>
        <w:gridCol w:w="1263"/>
        <w:gridCol w:w="1226"/>
        <w:gridCol w:w="1226"/>
        <w:gridCol w:w="1226"/>
      </w:tblGrid>
      <w:tr w:rsidR="00FE0ED3" w:rsidRPr="00FE0ED3" w14:paraId="4FF9BD8B" w14:textId="77777777" w:rsidTr="007B0D58">
        <w:trPr>
          <w:trHeight w:val="296"/>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0C519"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Period</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14:paraId="42161CF5"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2.5 Lower limit</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561CAC7"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Point Forecast</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14:paraId="73AD2415"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97.5 Upper limit</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14:paraId="544E3A21"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Actual sales</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14:paraId="5818F19B"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MAPE %</w:t>
            </w:r>
          </w:p>
        </w:tc>
      </w:tr>
      <w:tr w:rsidR="00FE0ED3" w:rsidRPr="00FE0ED3" w14:paraId="3B5D0140" w14:textId="77777777" w:rsidTr="007B0D58">
        <w:trPr>
          <w:trHeight w:val="296"/>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3AE96F76"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Nov-03</w:t>
            </w:r>
          </w:p>
        </w:tc>
        <w:tc>
          <w:tcPr>
            <w:tcW w:w="1226" w:type="dxa"/>
            <w:tcBorders>
              <w:top w:val="nil"/>
              <w:left w:val="nil"/>
              <w:bottom w:val="single" w:sz="4" w:space="0" w:color="auto"/>
              <w:right w:val="single" w:sz="4" w:space="0" w:color="auto"/>
            </w:tcBorders>
            <w:shd w:val="clear" w:color="auto" w:fill="auto"/>
            <w:noWrap/>
            <w:vAlign w:val="bottom"/>
            <w:hideMark/>
          </w:tcPr>
          <w:p w14:paraId="2865E646"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253</w:t>
            </w:r>
          </w:p>
        </w:tc>
        <w:tc>
          <w:tcPr>
            <w:tcW w:w="1263" w:type="dxa"/>
            <w:tcBorders>
              <w:top w:val="nil"/>
              <w:left w:val="nil"/>
              <w:bottom w:val="single" w:sz="4" w:space="0" w:color="auto"/>
              <w:right w:val="single" w:sz="4" w:space="0" w:color="auto"/>
            </w:tcBorders>
            <w:shd w:val="clear" w:color="auto" w:fill="auto"/>
            <w:noWrap/>
            <w:vAlign w:val="bottom"/>
            <w:hideMark/>
          </w:tcPr>
          <w:p w14:paraId="683FCE30"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341</w:t>
            </w:r>
          </w:p>
        </w:tc>
        <w:tc>
          <w:tcPr>
            <w:tcW w:w="1226" w:type="dxa"/>
            <w:tcBorders>
              <w:top w:val="nil"/>
              <w:left w:val="nil"/>
              <w:bottom w:val="single" w:sz="4" w:space="0" w:color="auto"/>
              <w:right w:val="single" w:sz="4" w:space="0" w:color="auto"/>
            </w:tcBorders>
            <w:shd w:val="clear" w:color="auto" w:fill="auto"/>
            <w:noWrap/>
            <w:vAlign w:val="bottom"/>
            <w:hideMark/>
          </w:tcPr>
          <w:p w14:paraId="72D60191"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429</w:t>
            </w:r>
          </w:p>
        </w:tc>
        <w:tc>
          <w:tcPr>
            <w:tcW w:w="1226" w:type="dxa"/>
            <w:tcBorders>
              <w:top w:val="nil"/>
              <w:left w:val="nil"/>
              <w:bottom w:val="single" w:sz="4" w:space="0" w:color="auto"/>
              <w:right w:val="single" w:sz="4" w:space="0" w:color="auto"/>
            </w:tcBorders>
            <w:shd w:val="clear" w:color="auto" w:fill="auto"/>
            <w:noWrap/>
            <w:vAlign w:val="bottom"/>
            <w:hideMark/>
          </w:tcPr>
          <w:p w14:paraId="17071ABA"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321</w:t>
            </w:r>
          </w:p>
        </w:tc>
        <w:tc>
          <w:tcPr>
            <w:tcW w:w="1226" w:type="dxa"/>
            <w:tcBorders>
              <w:top w:val="nil"/>
              <w:left w:val="nil"/>
              <w:bottom w:val="single" w:sz="4" w:space="0" w:color="auto"/>
              <w:right w:val="single" w:sz="4" w:space="0" w:color="auto"/>
            </w:tcBorders>
            <w:shd w:val="clear" w:color="auto" w:fill="auto"/>
            <w:noWrap/>
            <w:vAlign w:val="bottom"/>
            <w:hideMark/>
          </w:tcPr>
          <w:p w14:paraId="06991F93"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15.8</w:t>
            </w:r>
          </w:p>
        </w:tc>
      </w:tr>
      <w:tr w:rsidR="00FE0ED3" w:rsidRPr="00FE0ED3" w14:paraId="236F6403" w14:textId="77777777" w:rsidTr="007B0D58">
        <w:trPr>
          <w:trHeight w:val="296"/>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A05CC96"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Dec-03</w:t>
            </w:r>
          </w:p>
        </w:tc>
        <w:tc>
          <w:tcPr>
            <w:tcW w:w="1226" w:type="dxa"/>
            <w:tcBorders>
              <w:top w:val="nil"/>
              <w:left w:val="nil"/>
              <w:bottom w:val="single" w:sz="4" w:space="0" w:color="auto"/>
              <w:right w:val="single" w:sz="4" w:space="0" w:color="auto"/>
            </w:tcBorders>
            <w:shd w:val="clear" w:color="auto" w:fill="auto"/>
            <w:noWrap/>
            <w:vAlign w:val="bottom"/>
            <w:hideMark/>
          </w:tcPr>
          <w:p w14:paraId="4B869C9D"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312</w:t>
            </w:r>
          </w:p>
        </w:tc>
        <w:tc>
          <w:tcPr>
            <w:tcW w:w="1263" w:type="dxa"/>
            <w:tcBorders>
              <w:top w:val="nil"/>
              <w:left w:val="nil"/>
              <w:bottom w:val="single" w:sz="4" w:space="0" w:color="auto"/>
              <w:right w:val="single" w:sz="4" w:space="0" w:color="auto"/>
            </w:tcBorders>
            <w:shd w:val="clear" w:color="auto" w:fill="auto"/>
            <w:noWrap/>
            <w:vAlign w:val="bottom"/>
            <w:hideMark/>
          </w:tcPr>
          <w:p w14:paraId="06331246"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401</w:t>
            </w:r>
          </w:p>
        </w:tc>
        <w:tc>
          <w:tcPr>
            <w:tcW w:w="1226" w:type="dxa"/>
            <w:tcBorders>
              <w:top w:val="nil"/>
              <w:left w:val="nil"/>
              <w:bottom w:val="single" w:sz="4" w:space="0" w:color="auto"/>
              <w:right w:val="single" w:sz="4" w:space="0" w:color="auto"/>
            </w:tcBorders>
            <w:shd w:val="clear" w:color="auto" w:fill="auto"/>
            <w:noWrap/>
            <w:vAlign w:val="bottom"/>
            <w:hideMark/>
          </w:tcPr>
          <w:p w14:paraId="7050B5BC"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489</w:t>
            </w:r>
          </w:p>
        </w:tc>
        <w:tc>
          <w:tcPr>
            <w:tcW w:w="1226" w:type="dxa"/>
            <w:tcBorders>
              <w:top w:val="nil"/>
              <w:left w:val="nil"/>
              <w:bottom w:val="single" w:sz="4" w:space="0" w:color="auto"/>
              <w:right w:val="single" w:sz="4" w:space="0" w:color="auto"/>
            </w:tcBorders>
            <w:shd w:val="clear" w:color="auto" w:fill="auto"/>
            <w:noWrap/>
            <w:vAlign w:val="bottom"/>
            <w:hideMark/>
          </w:tcPr>
          <w:p w14:paraId="6358D0E0"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369</w:t>
            </w:r>
          </w:p>
        </w:tc>
        <w:tc>
          <w:tcPr>
            <w:tcW w:w="1226" w:type="dxa"/>
            <w:tcBorders>
              <w:top w:val="nil"/>
              <w:left w:val="nil"/>
              <w:bottom w:val="single" w:sz="4" w:space="0" w:color="auto"/>
              <w:right w:val="single" w:sz="4" w:space="0" w:color="auto"/>
            </w:tcBorders>
            <w:shd w:val="clear" w:color="auto" w:fill="auto"/>
            <w:noWrap/>
            <w:vAlign w:val="bottom"/>
            <w:hideMark/>
          </w:tcPr>
          <w:p w14:paraId="61520AA6"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14.59</w:t>
            </w:r>
          </w:p>
        </w:tc>
      </w:tr>
    </w:tbl>
    <w:p w14:paraId="12C7A573" w14:textId="7AB5F0F6" w:rsidR="00FE0ED3" w:rsidRPr="007B0D58" w:rsidRDefault="007B0D58" w:rsidP="007B0D58">
      <w:pPr>
        <w:spacing w:line="240" w:lineRule="auto"/>
        <w:ind w:left="2880"/>
        <w:jc w:val="both"/>
        <w:rPr>
          <w:rFonts w:cstheme="minorHAnsi"/>
          <w:i/>
        </w:rPr>
      </w:pPr>
      <w:r w:rsidRPr="00FE0ED3">
        <w:rPr>
          <w:rFonts w:cstheme="minorHAnsi"/>
        </w:rPr>
        <w:t>Table 3.</w:t>
      </w:r>
      <w:r>
        <w:rPr>
          <w:rFonts w:cstheme="minorHAnsi"/>
        </w:rPr>
        <w:t xml:space="preserve">    </w:t>
      </w:r>
      <w:r w:rsidR="00FE0ED3" w:rsidRPr="00FE0ED3">
        <w:rPr>
          <w:rFonts w:cstheme="minorHAnsi"/>
          <w:i/>
        </w:rPr>
        <w:t>** Sales numbers are in thousands</w:t>
      </w:r>
    </w:p>
    <w:tbl>
      <w:tblPr>
        <w:tblW w:w="8017" w:type="dxa"/>
        <w:jc w:val="center"/>
        <w:tblLook w:val="04A0" w:firstRow="1" w:lastRow="0" w:firstColumn="1" w:lastColumn="0" w:noHBand="0" w:noVBand="1"/>
      </w:tblPr>
      <w:tblGrid>
        <w:gridCol w:w="2345"/>
        <w:gridCol w:w="2403"/>
        <w:gridCol w:w="1337"/>
        <w:gridCol w:w="1932"/>
      </w:tblGrid>
      <w:tr w:rsidR="00FE0ED3" w:rsidRPr="00FE0ED3" w14:paraId="6870145D" w14:textId="77777777" w:rsidTr="007B0D58">
        <w:trPr>
          <w:trHeight w:val="269"/>
          <w:jc w:val="center"/>
        </w:trPr>
        <w:tc>
          <w:tcPr>
            <w:tcW w:w="2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2D59E"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Period</w:t>
            </w:r>
          </w:p>
        </w:tc>
        <w:tc>
          <w:tcPr>
            <w:tcW w:w="2403" w:type="dxa"/>
            <w:tcBorders>
              <w:top w:val="single" w:sz="4" w:space="0" w:color="auto"/>
              <w:left w:val="nil"/>
              <w:bottom w:val="single" w:sz="4" w:space="0" w:color="auto"/>
              <w:right w:val="single" w:sz="4" w:space="0" w:color="auto"/>
            </w:tcBorders>
            <w:shd w:val="clear" w:color="auto" w:fill="auto"/>
            <w:noWrap/>
            <w:vAlign w:val="bottom"/>
            <w:hideMark/>
          </w:tcPr>
          <w:p w14:paraId="2369C1A7"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Cost of 1 % over forecast</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14:paraId="2B36E070"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MAPE %</w:t>
            </w:r>
          </w:p>
        </w:tc>
        <w:tc>
          <w:tcPr>
            <w:tcW w:w="1932" w:type="dxa"/>
            <w:tcBorders>
              <w:top w:val="single" w:sz="4" w:space="0" w:color="auto"/>
              <w:left w:val="nil"/>
              <w:bottom w:val="single" w:sz="4" w:space="0" w:color="auto"/>
              <w:right w:val="single" w:sz="4" w:space="0" w:color="auto"/>
            </w:tcBorders>
            <w:shd w:val="clear" w:color="auto" w:fill="auto"/>
            <w:noWrap/>
            <w:vAlign w:val="bottom"/>
            <w:hideMark/>
          </w:tcPr>
          <w:p w14:paraId="734CE813" w14:textId="77777777" w:rsidR="00FE0ED3" w:rsidRPr="00FE0ED3" w:rsidRDefault="00FE0ED3" w:rsidP="00FE0ED3">
            <w:pPr>
              <w:spacing w:after="0" w:line="240" w:lineRule="auto"/>
              <w:jc w:val="both"/>
              <w:rPr>
                <w:rFonts w:eastAsia="Times New Roman" w:cstheme="minorHAnsi"/>
                <w:b/>
                <w:bCs/>
                <w:color w:val="000000"/>
              </w:rPr>
            </w:pPr>
            <w:r w:rsidRPr="00FE0ED3">
              <w:rPr>
                <w:rFonts w:eastAsia="Times New Roman" w:cstheme="minorHAnsi"/>
                <w:b/>
                <w:bCs/>
                <w:color w:val="000000"/>
              </w:rPr>
              <w:t>Total Cost</w:t>
            </w:r>
          </w:p>
        </w:tc>
      </w:tr>
      <w:tr w:rsidR="00FE0ED3" w:rsidRPr="00FE0ED3" w14:paraId="338CD847" w14:textId="77777777" w:rsidTr="007B0D58">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14:paraId="2ECA308B"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Nov-03</w:t>
            </w:r>
          </w:p>
        </w:tc>
        <w:tc>
          <w:tcPr>
            <w:tcW w:w="2403" w:type="dxa"/>
            <w:tcBorders>
              <w:top w:val="nil"/>
              <w:left w:val="nil"/>
              <w:bottom w:val="single" w:sz="4" w:space="0" w:color="auto"/>
              <w:right w:val="single" w:sz="4" w:space="0" w:color="auto"/>
            </w:tcBorders>
            <w:shd w:val="clear" w:color="auto" w:fill="auto"/>
            <w:noWrap/>
            <w:vAlign w:val="bottom"/>
            <w:hideMark/>
          </w:tcPr>
          <w:p w14:paraId="1DB50889"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10,200</w:t>
            </w:r>
          </w:p>
        </w:tc>
        <w:tc>
          <w:tcPr>
            <w:tcW w:w="1337" w:type="dxa"/>
            <w:tcBorders>
              <w:top w:val="nil"/>
              <w:left w:val="nil"/>
              <w:bottom w:val="single" w:sz="4" w:space="0" w:color="auto"/>
              <w:right w:val="single" w:sz="4" w:space="0" w:color="auto"/>
            </w:tcBorders>
            <w:shd w:val="clear" w:color="auto" w:fill="auto"/>
            <w:noWrap/>
            <w:vAlign w:val="bottom"/>
            <w:hideMark/>
          </w:tcPr>
          <w:p w14:paraId="4515208C"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15.8</w:t>
            </w:r>
          </w:p>
        </w:tc>
        <w:tc>
          <w:tcPr>
            <w:tcW w:w="1932" w:type="dxa"/>
            <w:tcBorders>
              <w:top w:val="nil"/>
              <w:left w:val="nil"/>
              <w:bottom w:val="single" w:sz="4" w:space="0" w:color="auto"/>
              <w:right w:val="single" w:sz="4" w:space="0" w:color="auto"/>
            </w:tcBorders>
            <w:shd w:val="clear" w:color="auto" w:fill="auto"/>
            <w:noWrap/>
            <w:vAlign w:val="bottom"/>
            <w:hideMark/>
          </w:tcPr>
          <w:p w14:paraId="568E7E37"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$ 161,160</w:t>
            </w:r>
          </w:p>
        </w:tc>
      </w:tr>
      <w:tr w:rsidR="00FE0ED3" w:rsidRPr="00FE0ED3" w14:paraId="32D83158" w14:textId="77777777" w:rsidTr="007B0D58">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14:paraId="3D51DC88"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Dec-03</w:t>
            </w:r>
          </w:p>
        </w:tc>
        <w:tc>
          <w:tcPr>
            <w:tcW w:w="2403" w:type="dxa"/>
            <w:tcBorders>
              <w:top w:val="nil"/>
              <w:left w:val="nil"/>
              <w:bottom w:val="single" w:sz="4" w:space="0" w:color="auto"/>
              <w:right w:val="single" w:sz="4" w:space="0" w:color="auto"/>
            </w:tcBorders>
            <w:shd w:val="clear" w:color="auto" w:fill="auto"/>
            <w:noWrap/>
            <w:vAlign w:val="bottom"/>
            <w:hideMark/>
          </w:tcPr>
          <w:p w14:paraId="088624DA"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10,200</w:t>
            </w:r>
          </w:p>
        </w:tc>
        <w:tc>
          <w:tcPr>
            <w:tcW w:w="1337" w:type="dxa"/>
            <w:tcBorders>
              <w:top w:val="nil"/>
              <w:left w:val="nil"/>
              <w:bottom w:val="single" w:sz="4" w:space="0" w:color="auto"/>
              <w:right w:val="single" w:sz="4" w:space="0" w:color="auto"/>
            </w:tcBorders>
            <w:shd w:val="clear" w:color="auto" w:fill="auto"/>
            <w:noWrap/>
            <w:vAlign w:val="bottom"/>
            <w:hideMark/>
          </w:tcPr>
          <w:p w14:paraId="1D4071B3"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14.59</w:t>
            </w:r>
          </w:p>
        </w:tc>
        <w:tc>
          <w:tcPr>
            <w:tcW w:w="1932" w:type="dxa"/>
            <w:tcBorders>
              <w:top w:val="nil"/>
              <w:left w:val="nil"/>
              <w:bottom w:val="single" w:sz="4" w:space="0" w:color="auto"/>
              <w:right w:val="single" w:sz="4" w:space="0" w:color="auto"/>
            </w:tcBorders>
            <w:shd w:val="clear" w:color="auto" w:fill="auto"/>
            <w:noWrap/>
            <w:vAlign w:val="bottom"/>
            <w:hideMark/>
          </w:tcPr>
          <w:p w14:paraId="4C56A3D6" w14:textId="77777777" w:rsidR="00FE0ED3" w:rsidRPr="00FE0ED3" w:rsidRDefault="00FE0ED3" w:rsidP="00FE0ED3">
            <w:pPr>
              <w:spacing w:after="0" w:line="240" w:lineRule="auto"/>
              <w:jc w:val="both"/>
              <w:rPr>
                <w:rFonts w:eastAsia="Times New Roman" w:cstheme="minorHAnsi"/>
                <w:color w:val="000000"/>
              </w:rPr>
            </w:pPr>
            <w:r w:rsidRPr="00FE0ED3">
              <w:rPr>
                <w:rFonts w:eastAsia="Times New Roman" w:cstheme="minorHAnsi"/>
                <w:color w:val="000000"/>
              </w:rPr>
              <w:t>$ 148,818</w:t>
            </w:r>
          </w:p>
        </w:tc>
      </w:tr>
    </w:tbl>
    <w:p w14:paraId="2AE9C653" w14:textId="4D5AA17D" w:rsidR="00FE0ED3" w:rsidRPr="00FE0ED3" w:rsidRDefault="007B0D58" w:rsidP="007B0D58">
      <w:pPr>
        <w:spacing w:line="240" w:lineRule="auto"/>
        <w:ind w:left="2160" w:firstLine="720"/>
        <w:jc w:val="both"/>
        <w:rPr>
          <w:rFonts w:cstheme="minorHAnsi"/>
        </w:rPr>
      </w:pPr>
      <w:r w:rsidRPr="00FE0ED3">
        <w:rPr>
          <w:rFonts w:cstheme="minorHAnsi"/>
        </w:rPr>
        <w:t xml:space="preserve">Table </w:t>
      </w:r>
      <w:r>
        <w:rPr>
          <w:rFonts w:cstheme="minorHAnsi"/>
        </w:rPr>
        <w:t>4</w:t>
      </w:r>
      <w:r w:rsidRPr="00FE0ED3">
        <w:rPr>
          <w:rFonts w:cstheme="minorHAnsi"/>
        </w:rPr>
        <w:t>.</w:t>
      </w:r>
    </w:p>
    <w:p w14:paraId="656A3152" w14:textId="77777777" w:rsidR="00FE0ED3" w:rsidRPr="00FE0ED3" w:rsidRDefault="00FE0ED3" w:rsidP="00FE0ED3">
      <w:pPr>
        <w:spacing w:line="240" w:lineRule="auto"/>
        <w:jc w:val="both"/>
        <w:rPr>
          <w:rFonts w:cstheme="minorHAnsi"/>
        </w:rPr>
      </w:pPr>
      <w:r w:rsidRPr="00FE0ED3">
        <w:rPr>
          <w:rFonts w:cstheme="minorHAnsi"/>
        </w:rPr>
        <w:lastRenderedPageBreak/>
        <w:t xml:space="preserve">Based on the assumptions and the calculations illustrated above, the actual cost of the errors is $161,160 for November 2003 and $148,818 for December 2003. We know that the 1% cost was calculated assuming the case volume to be 100,000. Our actual case volumes for Nov-2003 and Dec-2003 are 321,000 and 369,000 respectively. Hence, our actual cost of over-forecasting is $ 516,000 and $ 537,233 for November and December of 2003 respectively. </w:t>
      </w:r>
    </w:p>
    <w:p w14:paraId="349832F0" w14:textId="35D0E184" w:rsidR="00FE0ED3" w:rsidRPr="00FE0ED3" w:rsidRDefault="00FE0ED3" w:rsidP="00FE0ED3">
      <w:pPr>
        <w:spacing w:line="240" w:lineRule="auto"/>
        <w:jc w:val="both"/>
        <w:rPr>
          <w:rFonts w:cstheme="minorHAnsi"/>
        </w:rPr>
      </w:pPr>
      <w:r w:rsidRPr="00FE0ED3">
        <w:rPr>
          <w:rFonts w:cstheme="minorHAnsi"/>
        </w:rPr>
        <w:t>The above numbers are staggering, and we can surely tell that the expert selection method is not a good method to generate forecast due to the cost of the forecast errors and a high error percentage. Hence, we need to analyze the historical data by detecting patterns and the factors such as trend and seasonality. Considering the above factors and by deeply analyzing the correlogram of the data will help us to recommend a model that will give a better and accurate forecast for our monthly sales data.</w:t>
      </w:r>
    </w:p>
    <w:p w14:paraId="004A3288" w14:textId="6303E9AC" w:rsidR="0008150C" w:rsidRPr="007B0D58" w:rsidRDefault="0008150C" w:rsidP="007B0D58">
      <w:pPr>
        <w:pStyle w:val="Heading1"/>
        <w:rPr>
          <w:b/>
        </w:rPr>
      </w:pPr>
      <w:r w:rsidRPr="007B0D58">
        <w:rPr>
          <w:b/>
        </w:rPr>
        <w:t>Data Patterns</w:t>
      </w:r>
    </w:p>
    <w:p w14:paraId="4C11F0B9" w14:textId="2A52DF17" w:rsidR="00965753" w:rsidRPr="00FE0ED3" w:rsidRDefault="00965753" w:rsidP="00FE0ED3">
      <w:pPr>
        <w:spacing w:line="240" w:lineRule="auto"/>
        <w:jc w:val="both"/>
        <w:rPr>
          <w:rFonts w:cstheme="minorHAnsi"/>
        </w:rPr>
      </w:pPr>
      <w:r w:rsidRPr="00FE0ED3">
        <w:rPr>
          <w:rFonts w:cstheme="minorHAnsi"/>
        </w:rPr>
        <w:t xml:space="preserve">As per time-series, our model shows Linear trend since the </w:t>
      </w:r>
    </w:p>
    <w:p w14:paraId="05960409" w14:textId="2AF3703B" w:rsidR="00965753" w:rsidRPr="00FE0ED3" w:rsidRDefault="00965753" w:rsidP="007B0D58">
      <w:pPr>
        <w:spacing w:line="240" w:lineRule="auto"/>
        <w:jc w:val="center"/>
        <w:rPr>
          <w:rFonts w:cstheme="minorHAnsi"/>
        </w:rPr>
      </w:pPr>
      <w:r w:rsidRPr="00FE0ED3">
        <w:rPr>
          <w:rFonts w:cstheme="minorHAnsi"/>
          <w:noProof/>
        </w:rPr>
        <w:drawing>
          <wp:inline distT="0" distB="0" distL="0" distR="0" wp14:anchorId="382239EB" wp14:editId="79BE7D08">
            <wp:extent cx="5943600" cy="27108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0815"/>
                    </a:xfrm>
                    <a:prstGeom prst="rect">
                      <a:avLst/>
                    </a:prstGeom>
                    <a:ln w="12700">
                      <a:solidFill>
                        <a:schemeClr val="tx1"/>
                      </a:solidFill>
                    </a:ln>
                  </pic:spPr>
                </pic:pic>
              </a:graphicData>
            </a:graphic>
          </wp:inline>
        </w:drawing>
      </w:r>
    </w:p>
    <w:p w14:paraId="58254ACB" w14:textId="45F251BE" w:rsidR="00965753" w:rsidRDefault="00C32673" w:rsidP="00FE0ED3">
      <w:pPr>
        <w:spacing w:line="240" w:lineRule="auto"/>
        <w:jc w:val="both"/>
        <w:rPr>
          <w:rFonts w:cstheme="minorHAnsi"/>
        </w:rPr>
      </w:pPr>
      <w:r>
        <w:rPr>
          <w:rFonts w:cstheme="minorHAnsi"/>
          <w:highlight w:val="yellow"/>
        </w:rPr>
        <w:t>s</w:t>
      </w:r>
      <w:bookmarkStart w:id="0" w:name="_GoBack"/>
      <w:bookmarkEnd w:id="0"/>
      <w:r w:rsidR="007B0D58" w:rsidRPr="00C32673">
        <w:rPr>
          <w:rFonts w:cstheme="minorHAnsi"/>
          <w:highlight w:val="yellow"/>
        </w:rPr>
        <w:t>(Explanation would be here)</w:t>
      </w:r>
    </w:p>
    <w:p w14:paraId="039CADD7" w14:textId="17777CBC" w:rsidR="00965753" w:rsidRPr="007B0D58" w:rsidRDefault="00017976" w:rsidP="00FE0ED3">
      <w:pPr>
        <w:spacing w:line="240" w:lineRule="auto"/>
        <w:jc w:val="both"/>
        <w:rPr>
          <w:rFonts w:cstheme="minorHAnsi"/>
          <w:b/>
          <w:sz w:val="24"/>
        </w:rPr>
      </w:pPr>
      <w:r w:rsidRPr="007B0D58">
        <w:rPr>
          <w:rFonts w:cstheme="minorHAnsi"/>
          <w:b/>
          <w:sz w:val="24"/>
        </w:rPr>
        <w:t>Determining Patterns in time series using Autocorrelation</w:t>
      </w:r>
    </w:p>
    <w:p w14:paraId="5DF90818" w14:textId="3FC6ED21" w:rsidR="00017976" w:rsidRPr="00FE0ED3" w:rsidRDefault="00017976" w:rsidP="00FE0ED3">
      <w:pPr>
        <w:spacing w:line="240" w:lineRule="auto"/>
        <w:jc w:val="both"/>
        <w:rPr>
          <w:rFonts w:cstheme="minorHAnsi"/>
        </w:rPr>
      </w:pPr>
      <w:r w:rsidRPr="00FE0ED3">
        <w:rPr>
          <w:rFonts w:cstheme="minorHAnsi"/>
        </w:rPr>
        <w:t>We performed autocorrelation and modified ‘Simple Differencing’ and ‘Seasonal differencing’ to determine the patterns in the data.</w:t>
      </w:r>
    </w:p>
    <w:p w14:paraId="3CC78133" w14:textId="699D5B74" w:rsidR="00017976" w:rsidRPr="007B0D58" w:rsidRDefault="00017976" w:rsidP="007B0D58">
      <w:pPr>
        <w:pStyle w:val="ListParagraph"/>
        <w:numPr>
          <w:ilvl w:val="0"/>
          <w:numId w:val="3"/>
        </w:numPr>
        <w:spacing w:line="240" w:lineRule="auto"/>
        <w:jc w:val="both"/>
        <w:rPr>
          <w:rFonts w:cstheme="minorHAnsi"/>
          <w:b/>
        </w:rPr>
      </w:pPr>
      <w:r w:rsidRPr="007B0D58">
        <w:rPr>
          <w:rFonts w:cstheme="minorHAnsi"/>
          <w:b/>
        </w:rPr>
        <w:t>Patterns observed when no differencing was applied</w:t>
      </w:r>
    </w:p>
    <w:p w14:paraId="772402E0" w14:textId="54CA7204" w:rsidR="00965753" w:rsidRPr="00FE0ED3" w:rsidRDefault="00965753" w:rsidP="007B0D58">
      <w:pPr>
        <w:spacing w:line="240" w:lineRule="auto"/>
        <w:jc w:val="center"/>
        <w:rPr>
          <w:rFonts w:cstheme="minorHAnsi"/>
        </w:rPr>
      </w:pPr>
      <w:r w:rsidRPr="00FE0ED3">
        <w:rPr>
          <w:rFonts w:cstheme="minorHAnsi"/>
          <w:noProof/>
        </w:rPr>
        <w:drawing>
          <wp:inline distT="0" distB="0" distL="0" distR="0" wp14:anchorId="185963E5" wp14:editId="09DB4BBE">
            <wp:extent cx="5943600" cy="2934970"/>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4970"/>
                    </a:xfrm>
                    <a:prstGeom prst="rect">
                      <a:avLst/>
                    </a:prstGeom>
                    <a:ln w="12700">
                      <a:solidFill>
                        <a:schemeClr val="tx1"/>
                      </a:solidFill>
                    </a:ln>
                  </pic:spPr>
                </pic:pic>
              </a:graphicData>
            </a:graphic>
          </wp:inline>
        </w:drawing>
      </w:r>
    </w:p>
    <w:p w14:paraId="75A5650D" w14:textId="408B2266" w:rsidR="00E975D0" w:rsidRPr="00FE0ED3" w:rsidRDefault="00017976" w:rsidP="00FE0ED3">
      <w:pPr>
        <w:spacing w:line="240" w:lineRule="auto"/>
        <w:jc w:val="both"/>
        <w:rPr>
          <w:rFonts w:cstheme="minorHAnsi"/>
        </w:rPr>
      </w:pPr>
      <w:r w:rsidRPr="00FE0ED3">
        <w:rPr>
          <w:rFonts w:cstheme="minorHAnsi"/>
        </w:rPr>
        <w:lastRenderedPageBreak/>
        <w:t>From the figure above, we observe that the autocorrelation function gradually drops to 0. As a result, we can infer that the time series is non-stationary. Also, high correlation can be seen among the observations with initial lags being significantly different from 0 and then gradually dropping to 0 which explains</w:t>
      </w:r>
      <w:r w:rsidR="00E975D0" w:rsidRPr="00FE0ED3">
        <w:rPr>
          <w:rFonts w:cstheme="minorHAnsi"/>
        </w:rPr>
        <w:t xml:space="preserve"> the trend within the series.</w:t>
      </w:r>
    </w:p>
    <w:p w14:paraId="7843E4C1" w14:textId="05F0D21A" w:rsidR="00E975D0" w:rsidRPr="007B0D58" w:rsidRDefault="006F532C" w:rsidP="007B0D58">
      <w:pPr>
        <w:pStyle w:val="ListParagraph"/>
        <w:numPr>
          <w:ilvl w:val="0"/>
          <w:numId w:val="3"/>
        </w:numPr>
        <w:spacing w:line="240" w:lineRule="auto"/>
        <w:jc w:val="both"/>
        <w:rPr>
          <w:rFonts w:cstheme="minorHAnsi"/>
          <w:b/>
        </w:rPr>
      </w:pPr>
      <w:r w:rsidRPr="007B0D58">
        <w:rPr>
          <w:rFonts w:cstheme="minorHAnsi"/>
          <w:b/>
        </w:rPr>
        <w:t>Patterns observed when f</w:t>
      </w:r>
      <w:r w:rsidR="00E975D0" w:rsidRPr="007B0D58">
        <w:rPr>
          <w:rFonts w:cstheme="minorHAnsi"/>
          <w:b/>
        </w:rPr>
        <w:t>irst order simple differencing</w:t>
      </w:r>
      <w:r w:rsidRPr="007B0D58">
        <w:rPr>
          <w:rFonts w:cstheme="minorHAnsi"/>
          <w:b/>
        </w:rPr>
        <w:t xml:space="preserve"> was applied</w:t>
      </w:r>
    </w:p>
    <w:p w14:paraId="14D85F66" w14:textId="62F42698" w:rsidR="00965753" w:rsidRPr="00FE0ED3" w:rsidRDefault="00965753" w:rsidP="007B0D58">
      <w:pPr>
        <w:spacing w:line="240" w:lineRule="auto"/>
        <w:jc w:val="center"/>
        <w:rPr>
          <w:rFonts w:cstheme="minorHAnsi"/>
        </w:rPr>
      </w:pPr>
      <w:r w:rsidRPr="00FE0ED3">
        <w:rPr>
          <w:rFonts w:cstheme="minorHAnsi"/>
          <w:noProof/>
        </w:rPr>
        <w:drawing>
          <wp:inline distT="0" distB="0" distL="0" distR="0" wp14:anchorId="2A5FFDA3" wp14:editId="1BA74A56">
            <wp:extent cx="6006439" cy="2913321"/>
            <wp:effectExtent l="19050" t="19050" r="1397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2583" cy="2921152"/>
                    </a:xfrm>
                    <a:prstGeom prst="rect">
                      <a:avLst/>
                    </a:prstGeom>
                    <a:ln w="12700">
                      <a:solidFill>
                        <a:schemeClr val="tx1"/>
                      </a:solidFill>
                    </a:ln>
                  </pic:spPr>
                </pic:pic>
              </a:graphicData>
            </a:graphic>
          </wp:inline>
        </w:drawing>
      </w:r>
    </w:p>
    <w:p w14:paraId="4B79804A" w14:textId="5158B202" w:rsidR="00E975D0" w:rsidRPr="00FE0ED3" w:rsidRDefault="00E975D0" w:rsidP="00FE0ED3">
      <w:pPr>
        <w:spacing w:line="240" w:lineRule="auto"/>
        <w:jc w:val="both"/>
        <w:rPr>
          <w:rFonts w:cstheme="minorHAnsi"/>
        </w:rPr>
      </w:pPr>
      <w:r w:rsidRPr="00FE0ED3">
        <w:rPr>
          <w:rFonts w:cstheme="minorHAnsi"/>
        </w:rPr>
        <w:t>The figure shows that the series has seasonality which can be observed by increase of sales every February and also by a significant autocorrelation coefficient occurring in lags of 12 months.</w:t>
      </w:r>
    </w:p>
    <w:p w14:paraId="2856493F" w14:textId="2AB10ACF" w:rsidR="004B61B6" w:rsidRPr="007B0D58" w:rsidRDefault="006F532C" w:rsidP="007B0D58">
      <w:pPr>
        <w:pStyle w:val="ListParagraph"/>
        <w:numPr>
          <w:ilvl w:val="0"/>
          <w:numId w:val="3"/>
        </w:numPr>
        <w:spacing w:line="240" w:lineRule="auto"/>
        <w:jc w:val="both"/>
        <w:rPr>
          <w:rFonts w:cstheme="minorHAnsi"/>
          <w:b/>
        </w:rPr>
      </w:pPr>
      <w:r w:rsidRPr="007B0D58">
        <w:rPr>
          <w:rFonts w:cstheme="minorHAnsi"/>
          <w:b/>
        </w:rPr>
        <w:t>Patterns observed when f</w:t>
      </w:r>
      <w:r w:rsidR="004B61B6" w:rsidRPr="007B0D58">
        <w:rPr>
          <w:rFonts w:cstheme="minorHAnsi"/>
          <w:b/>
        </w:rPr>
        <w:t>irst order seasonal differencing</w:t>
      </w:r>
      <w:r w:rsidRPr="007B0D58">
        <w:rPr>
          <w:rFonts w:cstheme="minorHAnsi"/>
          <w:b/>
        </w:rPr>
        <w:t xml:space="preserve"> was applied</w:t>
      </w:r>
    </w:p>
    <w:p w14:paraId="59562327" w14:textId="79A244BF" w:rsidR="00965753" w:rsidRPr="00FE0ED3" w:rsidRDefault="00965753" w:rsidP="007B0D58">
      <w:pPr>
        <w:spacing w:line="240" w:lineRule="auto"/>
        <w:jc w:val="center"/>
        <w:rPr>
          <w:rFonts w:cstheme="minorHAnsi"/>
        </w:rPr>
      </w:pPr>
      <w:r w:rsidRPr="00FE0ED3">
        <w:rPr>
          <w:rFonts w:cstheme="minorHAnsi"/>
          <w:noProof/>
        </w:rPr>
        <w:drawing>
          <wp:inline distT="0" distB="0" distL="0" distR="0" wp14:anchorId="4DACC899" wp14:editId="5B125AD8">
            <wp:extent cx="6060559" cy="3002280"/>
            <wp:effectExtent l="19050" t="19050" r="1651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1287" cy="3002641"/>
                    </a:xfrm>
                    <a:prstGeom prst="rect">
                      <a:avLst/>
                    </a:prstGeom>
                    <a:ln w="12700">
                      <a:solidFill>
                        <a:schemeClr val="tx1"/>
                      </a:solidFill>
                    </a:ln>
                  </pic:spPr>
                </pic:pic>
              </a:graphicData>
            </a:graphic>
          </wp:inline>
        </w:drawing>
      </w:r>
    </w:p>
    <w:p w14:paraId="61345B01" w14:textId="78B40F49" w:rsidR="004B61B6" w:rsidRPr="00FE0ED3" w:rsidRDefault="000506DA" w:rsidP="00FE0ED3">
      <w:pPr>
        <w:spacing w:line="240" w:lineRule="auto"/>
        <w:jc w:val="both"/>
        <w:rPr>
          <w:rFonts w:cstheme="minorHAnsi"/>
        </w:rPr>
      </w:pPr>
      <w:r w:rsidRPr="00FE0ED3">
        <w:rPr>
          <w:rFonts w:cstheme="minorHAnsi"/>
        </w:rPr>
        <w:t>We see that the trend is not repeated after fixed periods. Therefore, the trend within the series is cyclic.</w:t>
      </w:r>
    </w:p>
    <w:p w14:paraId="4932F911" w14:textId="77777777" w:rsidR="007B0D58" w:rsidRDefault="007B0D58">
      <w:pPr>
        <w:rPr>
          <w:rFonts w:cstheme="minorHAnsi"/>
          <w:b/>
        </w:rPr>
      </w:pPr>
      <w:r>
        <w:rPr>
          <w:rFonts w:cstheme="minorHAnsi"/>
          <w:b/>
        </w:rPr>
        <w:br w:type="page"/>
      </w:r>
    </w:p>
    <w:p w14:paraId="2E756B8B" w14:textId="113F6C86" w:rsidR="000506DA" w:rsidRPr="007B0D58" w:rsidRDefault="006F532C" w:rsidP="007B0D58">
      <w:pPr>
        <w:pStyle w:val="ListParagraph"/>
        <w:numPr>
          <w:ilvl w:val="0"/>
          <w:numId w:val="3"/>
        </w:numPr>
        <w:spacing w:line="240" w:lineRule="auto"/>
        <w:jc w:val="both"/>
        <w:rPr>
          <w:rFonts w:cstheme="minorHAnsi"/>
          <w:b/>
        </w:rPr>
      </w:pPr>
      <w:r w:rsidRPr="007B0D58">
        <w:rPr>
          <w:rFonts w:cstheme="minorHAnsi"/>
          <w:b/>
        </w:rPr>
        <w:lastRenderedPageBreak/>
        <w:t>Patterns observed when b</w:t>
      </w:r>
      <w:r w:rsidR="000506DA" w:rsidRPr="007B0D58">
        <w:rPr>
          <w:rFonts w:cstheme="minorHAnsi"/>
          <w:b/>
        </w:rPr>
        <w:t xml:space="preserve">oth first order seasonal and simple differencing </w:t>
      </w:r>
      <w:r w:rsidRPr="007B0D58">
        <w:rPr>
          <w:rFonts w:cstheme="minorHAnsi"/>
          <w:b/>
        </w:rPr>
        <w:t xml:space="preserve">were </w:t>
      </w:r>
      <w:r w:rsidR="000506DA" w:rsidRPr="007B0D58">
        <w:rPr>
          <w:rFonts w:cstheme="minorHAnsi"/>
          <w:b/>
        </w:rPr>
        <w:t>applied</w:t>
      </w:r>
    </w:p>
    <w:p w14:paraId="21AA8437" w14:textId="1A52693C" w:rsidR="00965753" w:rsidRPr="00FE0ED3" w:rsidRDefault="00965753" w:rsidP="007B0D58">
      <w:pPr>
        <w:spacing w:line="240" w:lineRule="auto"/>
        <w:jc w:val="center"/>
        <w:rPr>
          <w:rFonts w:cstheme="minorHAnsi"/>
        </w:rPr>
      </w:pPr>
      <w:r w:rsidRPr="00FE0ED3">
        <w:rPr>
          <w:rFonts w:cstheme="minorHAnsi"/>
          <w:noProof/>
        </w:rPr>
        <w:drawing>
          <wp:inline distT="0" distB="0" distL="0" distR="0" wp14:anchorId="669BD333" wp14:editId="51584A6D">
            <wp:extent cx="5943600" cy="30530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3080"/>
                    </a:xfrm>
                    <a:prstGeom prst="rect">
                      <a:avLst/>
                    </a:prstGeom>
                    <a:ln w="12700">
                      <a:solidFill>
                        <a:schemeClr val="tx1"/>
                      </a:solidFill>
                    </a:ln>
                  </pic:spPr>
                </pic:pic>
              </a:graphicData>
            </a:graphic>
          </wp:inline>
        </w:drawing>
      </w:r>
    </w:p>
    <w:p w14:paraId="10B3551E" w14:textId="29496C84" w:rsidR="00965753" w:rsidRPr="00FE0ED3" w:rsidRDefault="000506DA" w:rsidP="00FE0ED3">
      <w:pPr>
        <w:spacing w:line="240" w:lineRule="auto"/>
        <w:jc w:val="both"/>
        <w:rPr>
          <w:rFonts w:cstheme="minorHAnsi"/>
        </w:rPr>
      </w:pPr>
      <w:r w:rsidRPr="00FE0ED3">
        <w:rPr>
          <w:rFonts w:cstheme="minorHAnsi"/>
        </w:rPr>
        <w:t xml:space="preserve">This differencing is applied in order to make the series stationary. </w:t>
      </w:r>
      <w:r w:rsidR="00CF3B07" w:rsidRPr="00FE0ED3">
        <w:rPr>
          <w:rFonts w:cstheme="minorHAnsi"/>
        </w:rPr>
        <w:t>We can determine that the</w:t>
      </w:r>
      <w:r w:rsidR="00615280" w:rsidRPr="00FE0ED3">
        <w:rPr>
          <w:rFonts w:cstheme="minorHAnsi"/>
        </w:rPr>
        <w:t xml:space="preserve"> series is moving towards stationary with constant mean and variance. Moreover, the autocorrelation immediately drops to 0 which happens when the seri</w:t>
      </w:r>
      <w:r w:rsidR="006F532C" w:rsidRPr="00FE0ED3">
        <w:rPr>
          <w:rFonts w:cstheme="minorHAnsi"/>
        </w:rPr>
        <w:t xml:space="preserve">es is </w:t>
      </w:r>
      <w:r w:rsidR="00615280" w:rsidRPr="00FE0ED3">
        <w:rPr>
          <w:rFonts w:cstheme="minorHAnsi"/>
        </w:rPr>
        <w:t xml:space="preserve">stationary. </w:t>
      </w:r>
      <w:r w:rsidR="00CF3B07" w:rsidRPr="00FE0ED3">
        <w:rPr>
          <w:rFonts w:cstheme="minorHAnsi"/>
        </w:rPr>
        <w:t xml:space="preserve"> </w:t>
      </w:r>
    </w:p>
    <w:sectPr w:rsidR="00965753" w:rsidRPr="00FE0ED3" w:rsidSect="00FE0ED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2146B"/>
    <w:multiLevelType w:val="hybridMultilevel"/>
    <w:tmpl w:val="7D9C7144"/>
    <w:lvl w:ilvl="0" w:tplc="A43899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378D0"/>
    <w:multiLevelType w:val="hybridMultilevel"/>
    <w:tmpl w:val="853CE0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40763"/>
    <w:multiLevelType w:val="hybridMultilevel"/>
    <w:tmpl w:val="8712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C5E"/>
    <w:rsid w:val="00017976"/>
    <w:rsid w:val="000506DA"/>
    <w:rsid w:val="00063ECC"/>
    <w:rsid w:val="0008150C"/>
    <w:rsid w:val="000C3859"/>
    <w:rsid w:val="000F3FCC"/>
    <w:rsid w:val="00197D67"/>
    <w:rsid w:val="002036FA"/>
    <w:rsid w:val="002A3436"/>
    <w:rsid w:val="002D0A12"/>
    <w:rsid w:val="00306A1F"/>
    <w:rsid w:val="003C09F9"/>
    <w:rsid w:val="00406EE0"/>
    <w:rsid w:val="00496694"/>
    <w:rsid w:val="004B61B6"/>
    <w:rsid w:val="005B26A3"/>
    <w:rsid w:val="00615280"/>
    <w:rsid w:val="00630432"/>
    <w:rsid w:val="00654C6B"/>
    <w:rsid w:val="00672476"/>
    <w:rsid w:val="006F208B"/>
    <w:rsid w:val="006F532C"/>
    <w:rsid w:val="00716E66"/>
    <w:rsid w:val="00781E8A"/>
    <w:rsid w:val="007B0D58"/>
    <w:rsid w:val="007C48D8"/>
    <w:rsid w:val="007D4C01"/>
    <w:rsid w:val="007E0F7B"/>
    <w:rsid w:val="008168C9"/>
    <w:rsid w:val="00816A5C"/>
    <w:rsid w:val="008915E1"/>
    <w:rsid w:val="009214D0"/>
    <w:rsid w:val="00965753"/>
    <w:rsid w:val="00980AC3"/>
    <w:rsid w:val="00A2077B"/>
    <w:rsid w:val="00A71C45"/>
    <w:rsid w:val="00B744B9"/>
    <w:rsid w:val="00C32673"/>
    <w:rsid w:val="00CD096C"/>
    <w:rsid w:val="00CF3B07"/>
    <w:rsid w:val="00D62A68"/>
    <w:rsid w:val="00D74177"/>
    <w:rsid w:val="00E10697"/>
    <w:rsid w:val="00E61C5E"/>
    <w:rsid w:val="00E732B1"/>
    <w:rsid w:val="00E80DE2"/>
    <w:rsid w:val="00E84016"/>
    <w:rsid w:val="00E975D0"/>
    <w:rsid w:val="00ED5B61"/>
    <w:rsid w:val="00EE5F77"/>
    <w:rsid w:val="00F907C6"/>
    <w:rsid w:val="00FE0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D2CB"/>
  <w15:chartTrackingRefBased/>
  <w15:docId w15:val="{8420B704-58BC-4D28-AD1A-4D8DF79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6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08B"/>
    <w:rPr>
      <w:color w:val="0000FF"/>
      <w:u w:val="none"/>
    </w:rPr>
  </w:style>
  <w:style w:type="paragraph" w:styleId="ListParagraph">
    <w:name w:val="List Paragraph"/>
    <w:basedOn w:val="Normal"/>
    <w:uiPriority w:val="34"/>
    <w:qFormat/>
    <w:rsid w:val="00716E66"/>
    <w:pPr>
      <w:ind w:left="720"/>
      <w:contextualSpacing/>
    </w:pPr>
  </w:style>
  <w:style w:type="character" w:customStyle="1" w:styleId="highlight">
    <w:name w:val="highlight"/>
    <w:basedOn w:val="DefaultParagraphFont"/>
    <w:rsid w:val="008168C9"/>
  </w:style>
  <w:style w:type="character" w:customStyle="1" w:styleId="Heading1Char">
    <w:name w:val="Heading 1 Char"/>
    <w:basedOn w:val="DefaultParagraphFont"/>
    <w:link w:val="Heading1"/>
    <w:uiPriority w:val="9"/>
    <w:rsid w:val="00816A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1805">
      <w:bodyDiv w:val="1"/>
      <w:marLeft w:val="0"/>
      <w:marRight w:val="0"/>
      <w:marTop w:val="0"/>
      <w:marBottom w:val="0"/>
      <w:divBdr>
        <w:top w:val="none" w:sz="0" w:space="0" w:color="auto"/>
        <w:left w:val="none" w:sz="0" w:space="0" w:color="auto"/>
        <w:bottom w:val="none" w:sz="0" w:space="0" w:color="auto"/>
        <w:right w:val="none" w:sz="0" w:space="0" w:color="auto"/>
      </w:divBdr>
      <w:divsChild>
        <w:div w:id="1576863592">
          <w:marLeft w:val="0"/>
          <w:marRight w:val="0"/>
          <w:marTop w:val="0"/>
          <w:marBottom w:val="0"/>
          <w:divBdr>
            <w:top w:val="none" w:sz="0" w:space="0" w:color="auto"/>
            <w:left w:val="none" w:sz="0" w:space="0" w:color="auto"/>
            <w:bottom w:val="none" w:sz="0" w:space="0" w:color="auto"/>
            <w:right w:val="none" w:sz="0" w:space="0" w:color="auto"/>
          </w:divBdr>
        </w:div>
        <w:div w:id="645008853">
          <w:marLeft w:val="0"/>
          <w:marRight w:val="0"/>
          <w:marTop w:val="0"/>
          <w:marBottom w:val="0"/>
          <w:divBdr>
            <w:top w:val="none" w:sz="0" w:space="0" w:color="auto"/>
            <w:left w:val="none" w:sz="0" w:space="0" w:color="auto"/>
            <w:bottom w:val="none" w:sz="0" w:space="0" w:color="auto"/>
            <w:right w:val="none" w:sz="0" w:space="0" w:color="auto"/>
          </w:divBdr>
        </w:div>
        <w:div w:id="981038629">
          <w:marLeft w:val="0"/>
          <w:marRight w:val="0"/>
          <w:marTop w:val="0"/>
          <w:marBottom w:val="0"/>
          <w:divBdr>
            <w:top w:val="none" w:sz="0" w:space="0" w:color="auto"/>
            <w:left w:val="none" w:sz="0" w:space="0" w:color="auto"/>
            <w:bottom w:val="none" w:sz="0" w:space="0" w:color="auto"/>
            <w:right w:val="none" w:sz="0" w:space="0" w:color="auto"/>
          </w:divBdr>
        </w:div>
      </w:divsChild>
    </w:div>
    <w:div w:id="237322698">
      <w:bodyDiv w:val="1"/>
      <w:marLeft w:val="0"/>
      <w:marRight w:val="0"/>
      <w:marTop w:val="0"/>
      <w:marBottom w:val="0"/>
      <w:divBdr>
        <w:top w:val="none" w:sz="0" w:space="0" w:color="auto"/>
        <w:left w:val="none" w:sz="0" w:space="0" w:color="auto"/>
        <w:bottom w:val="none" w:sz="0" w:space="0" w:color="auto"/>
        <w:right w:val="none" w:sz="0" w:space="0" w:color="auto"/>
      </w:divBdr>
      <w:divsChild>
        <w:div w:id="1452284824">
          <w:marLeft w:val="0"/>
          <w:marRight w:val="0"/>
          <w:marTop w:val="0"/>
          <w:marBottom w:val="0"/>
          <w:divBdr>
            <w:top w:val="none" w:sz="0" w:space="0" w:color="auto"/>
            <w:left w:val="none" w:sz="0" w:space="0" w:color="auto"/>
            <w:bottom w:val="none" w:sz="0" w:space="0" w:color="auto"/>
            <w:right w:val="none" w:sz="0" w:space="0" w:color="auto"/>
          </w:divBdr>
        </w:div>
        <w:div w:id="415057115">
          <w:marLeft w:val="0"/>
          <w:marRight w:val="0"/>
          <w:marTop w:val="0"/>
          <w:marBottom w:val="0"/>
          <w:divBdr>
            <w:top w:val="none" w:sz="0" w:space="0" w:color="auto"/>
            <w:left w:val="none" w:sz="0" w:space="0" w:color="auto"/>
            <w:bottom w:val="none" w:sz="0" w:space="0" w:color="auto"/>
            <w:right w:val="none" w:sz="0" w:space="0" w:color="auto"/>
          </w:divBdr>
        </w:div>
        <w:div w:id="764109378">
          <w:marLeft w:val="0"/>
          <w:marRight w:val="0"/>
          <w:marTop w:val="0"/>
          <w:marBottom w:val="0"/>
          <w:divBdr>
            <w:top w:val="none" w:sz="0" w:space="0" w:color="auto"/>
            <w:left w:val="none" w:sz="0" w:space="0" w:color="auto"/>
            <w:bottom w:val="none" w:sz="0" w:space="0" w:color="auto"/>
            <w:right w:val="none" w:sz="0" w:space="0" w:color="auto"/>
          </w:divBdr>
        </w:div>
        <w:div w:id="619796760">
          <w:marLeft w:val="0"/>
          <w:marRight w:val="0"/>
          <w:marTop w:val="0"/>
          <w:marBottom w:val="0"/>
          <w:divBdr>
            <w:top w:val="none" w:sz="0" w:space="0" w:color="auto"/>
            <w:left w:val="none" w:sz="0" w:space="0" w:color="auto"/>
            <w:bottom w:val="none" w:sz="0" w:space="0" w:color="auto"/>
            <w:right w:val="none" w:sz="0" w:space="0" w:color="auto"/>
          </w:divBdr>
        </w:div>
      </w:divsChild>
    </w:div>
    <w:div w:id="763306065">
      <w:bodyDiv w:val="1"/>
      <w:marLeft w:val="0"/>
      <w:marRight w:val="0"/>
      <w:marTop w:val="0"/>
      <w:marBottom w:val="0"/>
      <w:divBdr>
        <w:top w:val="none" w:sz="0" w:space="0" w:color="auto"/>
        <w:left w:val="none" w:sz="0" w:space="0" w:color="auto"/>
        <w:bottom w:val="none" w:sz="0" w:space="0" w:color="auto"/>
        <w:right w:val="none" w:sz="0" w:space="0" w:color="auto"/>
      </w:divBdr>
      <w:divsChild>
        <w:div w:id="870727212">
          <w:marLeft w:val="0"/>
          <w:marRight w:val="0"/>
          <w:marTop w:val="0"/>
          <w:marBottom w:val="0"/>
          <w:divBdr>
            <w:top w:val="none" w:sz="0" w:space="0" w:color="auto"/>
            <w:left w:val="none" w:sz="0" w:space="0" w:color="auto"/>
            <w:bottom w:val="none" w:sz="0" w:space="0" w:color="auto"/>
            <w:right w:val="none" w:sz="0" w:space="0" w:color="auto"/>
          </w:divBdr>
        </w:div>
        <w:div w:id="792940740">
          <w:marLeft w:val="0"/>
          <w:marRight w:val="0"/>
          <w:marTop w:val="0"/>
          <w:marBottom w:val="0"/>
          <w:divBdr>
            <w:top w:val="none" w:sz="0" w:space="0" w:color="auto"/>
            <w:left w:val="none" w:sz="0" w:space="0" w:color="auto"/>
            <w:bottom w:val="none" w:sz="0" w:space="0" w:color="auto"/>
            <w:right w:val="none" w:sz="0" w:space="0" w:color="auto"/>
          </w:divBdr>
        </w:div>
        <w:div w:id="2130584209">
          <w:marLeft w:val="0"/>
          <w:marRight w:val="0"/>
          <w:marTop w:val="0"/>
          <w:marBottom w:val="0"/>
          <w:divBdr>
            <w:top w:val="none" w:sz="0" w:space="0" w:color="auto"/>
            <w:left w:val="none" w:sz="0" w:space="0" w:color="auto"/>
            <w:bottom w:val="none" w:sz="0" w:space="0" w:color="auto"/>
            <w:right w:val="none" w:sz="0" w:space="0" w:color="auto"/>
          </w:divBdr>
        </w:div>
      </w:divsChild>
    </w:div>
    <w:div w:id="818807021">
      <w:bodyDiv w:val="1"/>
      <w:marLeft w:val="0"/>
      <w:marRight w:val="0"/>
      <w:marTop w:val="0"/>
      <w:marBottom w:val="0"/>
      <w:divBdr>
        <w:top w:val="none" w:sz="0" w:space="0" w:color="auto"/>
        <w:left w:val="none" w:sz="0" w:space="0" w:color="auto"/>
        <w:bottom w:val="none" w:sz="0" w:space="0" w:color="auto"/>
        <w:right w:val="none" w:sz="0" w:space="0" w:color="auto"/>
      </w:divBdr>
      <w:divsChild>
        <w:div w:id="1657145760">
          <w:marLeft w:val="0"/>
          <w:marRight w:val="0"/>
          <w:marTop w:val="0"/>
          <w:marBottom w:val="0"/>
          <w:divBdr>
            <w:top w:val="none" w:sz="0" w:space="0" w:color="auto"/>
            <w:left w:val="none" w:sz="0" w:space="0" w:color="auto"/>
            <w:bottom w:val="none" w:sz="0" w:space="0" w:color="auto"/>
            <w:right w:val="none" w:sz="0" w:space="0" w:color="auto"/>
          </w:divBdr>
        </w:div>
        <w:div w:id="1002704795">
          <w:marLeft w:val="0"/>
          <w:marRight w:val="0"/>
          <w:marTop w:val="0"/>
          <w:marBottom w:val="0"/>
          <w:divBdr>
            <w:top w:val="none" w:sz="0" w:space="0" w:color="auto"/>
            <w:left w:val="none" w:sz="0" w:space="0" w:color="auto"/>
            <w:bottom w:val="none" w:sz="0" w:space="0" w:color="auto"/>
            <w:right w:val="none" w:sz="0" w:space="0" w:color="auto"/>
          </w:divBdr>
        </w:div>
      </w:divsChild>
    </w:div>
    <w:div w:id="940186438">
      <w:bodyDiv w:val="1"/>
      <w:marLeft w:val="0"/>
      <w:marRight w:val="0"/>
      <w:marTop w:val="0"/>
      <w:marBottom w:val="0"/>
      <w:divBdr>
        <w:top w:val="none" w:sz="0" w:space="0" w:color="auto"/>
        <w:left w:val="none" w:sz="0" w:space="0" w:color="auto"/>
        <w:bottom w:val="none" w:sz="0" w:space="0" w:color="auto"/>
        <w:right w:val="none" w:sz="0" w:space="0" w:color="auto"/>
      </w:divBdr>
      <w:divsChild>
        <w:div w:id="344868811">
          <w:marLeft w:val="0"/>
          <w:marRight w:val="0"/>
          <w:marTop w:val="0"/>
          <w:marBottom w:val="0"/>
          <w:divBdr>
            <w:top w:val="none" w:sz="0" w:space="0" w:color="auto"/>
            <w:left w:val="none" w:sz="0" w:space="0" w:color="auto"/>
            <w:bottom w:val="none" w:sz="0" w:space="0" w:color="auto"/>
            <w:right w:val="none" w:sz="0" w:space="0" w:color="auto"/>
          </w:divBdr>
        </w:div>
        <w:div w:id="1279022598">
          <w:marLeft w:val="0"/>
          <w:marRight w:val="0"/>
          <w:marTop w:val="0"/>
          <w:marBottom w:val="0"/>
          <w:divBdr>
            <w:top w:val="none" w:sz="0" w:space="0" w:color="auto"/>
            <w:left w:val="none" w:sz="0" w:space="0" w:color="auto"/>
            <w:bottom w:val="none" w:sz="0" w:space="0" w:color="auto"/>
            <w:right w:val="none" w:sz="0" w:space="0" w:color="auto"/>
          </w:divBdr>
        </w:div>
      </w:divsChild>
    </w:div>
    <w:div w:id="1689210878">
      <w:bodyDiv w:val="1"/>
      <w:marLeft w:val="0"/>
      <w:marRight w:val="0"/>
      <w:marTop w:val="0"/>
      <w:marBottom w:val="0"/>
      <w:divBdr>
        <w:top w:val="none" w:sz="0" w:space="0" w:color="auto"/>
        <w:left w:val="none" w:sz="0" w:space="0" w:color="auto"/>
        <w:bottom w:val="none" w:sz="0" w:space="0" w:color="auto"/>
        <w:right w:val="none" w:sz="0" w:space="0" w:color="auto"/>
      </w:divBdr>
      <w:divsChild>
        <w:div w:id="1141314485">
          <w:marLeft w:val="0"/>
          <w:marRight w:val="0"/>
          <w:marTop w:val="0"/>
          <w:marBottom w:val="0"/>
          <w:divBdr>
            <w:top w:val="none" w:sz="0" w:space="0" w:color="auto"/>
            <w:left w:val="none" w:sz="0" w:space="0" w:color="auto"/>
            <w:bottom w:val="none" w:sz="0" w:space="0" w:color="auto"/>
            <w:right w:val="none" w:sz="0" w:space="0" w:color="auto"/>
          </w:divBdr>
        </w:div>
        <w:div w:id="625433676">
          <w:marLeft w:val="0"/>
          <w:marRight w:val="0"/>
          <w:marTop w:val="0"/>
          <w:marBottom w:val="0"/>
          <w:divBdr>
            <w:top w:val="none" w:sz="0" w:space="0" w:color="auto"/>
            <w:left w:val="none" w:sz="0" w:space="0" w:color="auto"/>
            <w:bottom w:val="none" w:sz="0" w:space="0" w:color="auto"/>
            <w:right w:val="none" w:sz="0" w:space="0" w:color="auto"/>
          </w:divBdr>
        </w:div>
        <w:div w:id="1759208515">
          <w:marLeft w:val="0"/>
          <w:marRight w:val="0"/>
          <w:marTop w:val="0"/>
          <w:marBottom w:val="0"/>
          <w:divBdr>
            <w:top w:val="none" w:sz="0" w:space="0" w:color="auto"/>
            <w:left w:val="none" w:sz="0" w:space="0" w:color="auto"/>
            <w:bottom w:val="none" w:sz="0" w:space="0" w:color="auto"/>
            <w:right w:val="none" w:sz="0" w:space="0" w:color="auto"/>
          </w:divBdr>
        </w:div>
        <w:div w:id="132871941">
          <w:marLeft w:val="0"/>
          <w:marRight w:val="0"/>
          <w:marTop w:val="0"/>
          <w:marBottom w:val="0"/>
          <w:divBdr>
            <w:top w:val="none" w:sz="0" w:space="0" w:color="auto"/>
            <w:left w:val="none" w:sz="0" w:space="0" w:color="auto"/>
            <w:bottom w:val="none" w:sz="0" w:space="0" w:color="auto"/>
            <w:right w:val="none" w:sz="0" w:space="0" w:color="auto"/>
          </w:divBdr>
        </w:div>
        <w:div w:id="839583922">
          <w:marLeft w:val="0"/>
          <w:marRight w:val="0"/>
          <w:marTop w:val="0"/>
          <w:marBottom w:val="0"/>
          <w:divBdr>
            <w:top w:val="none" w:sz="0" w:space="0" w:color="auto"/>
            <w:left w:val="none" w:sz="0" w:space="0" w:color="auto"/>
            <w:bottom w:val="none" w:sz="0" w:space="0" w:color="auto"/>
            <w:right w:val="none" w:sz="0" w:space="0" w:color="auto"/>
          </w:divBdr>
        </w:div>
        <w:div w:id="591427446">
          <w:marLeft w:val="0"/>
          <w:marRight w:val="0"/>
          <w:marTop w:val="0"/>
          <w:marBottom w:val="0"/>
          <w:divBdr>
            <w:top w:val="none" w:sz="0" w:space="0" w:color="auto"/>
            <w:left w:val="none" w:sz="0" w:space="0" w:color="auto"/>
            <w:bottom w:val="none" w:sz="0" w:space="0" w:color="auto"/>
            <w:right w:val="none" w:sz="0" w:space="0" w:color="auto"/>
          </w:divBdr>
        </w:div>
        <w:div w:id="566305817">
          <w:marLeft w:val="0"/>
          <w:marRight w:val="0"/>
          <w:marTop w:val="0"/>
          <w:marBottom w:val="0"/>
          <w:divBdr>
            <w:top w:val="none" w:sz="0" w:space="0" w:color="auto"/>
            <w:left w:val="none" w:sz="0" w:space="0" w:color="auto"/>
            <w:bottom w:val="none" w:sz="0" w:space="0" w:color="auto"/>
            <w:right w:val="none" w:sz="0" w:space="0" w:color="auto"/>
          </w:divBdr>
        </w:div>
      </w:divsChild>
    </w:div>
    <w:div w:id="1695810496">
      <w:bodyDiv w:val="1"/>
      <w:marLeft w:val="0"/>
      <w:marRight w:val="0"/>
      <w:marTop w:val="0"/>
      <w:marBottom w:val="0"/>
      <w:divBdr>
        <w:top w:val="none" w:sz="0" w:space="0" w:color="auto"/>
        <w:left w:val="none" w:sz="0" w:space="0" w:color="auto"/>
        <w:bottom w:val="none" w:sz="0" w:space="0" w:color="auto"/>
        <w:right w:val="none" w:sz="0" w:space="0" w:color="auto"/>
      </w:divBdr>
      <w:divsChild>
        <w:div w:id="2113014995">
          <w:marLeft w:val="0"/>
          <w:marRight w:val="0"/>
          <w:marTop w:val="0"/>
          <w:marBottom w:val="0"/>
          <w:divBdr>
            <w:top w:val="none" w:sz="0" w:space="0" w:color="auto"/>
            <w:left w:val="none" w:sz="0" w:space="0" w:color="auto"/>
            <w:bottom w:val="none" w:sz="0" w:space="0" w:color="auto"/>
            <w:right w:val="none" w:sz="0" w:space="0" w:color="auto"/>
          </w:divBdr>
        </w:div>
        <w:div w:id="2146195972">
          <w:marLeft w:val="0"/>
          <w:marRight w:val="0"/>
          <w:marTop w:val="0"/>
          <w:marBottom w:val="0"/>
          <w:divBdr>
            <w:top w:val="none" w:sz="0" w:space="0" w:color="auto"/>
            <w:left w:val="none" w:sz="0" w:space="0" w:color="auto"/>
            <w:bottom w:val="none" w:sz="0" w:space="0" w:color="auto"/>
            <w:right w:val="none" w:sz="0" w:space="0" w:color="auto"/>
          </w:divBdr>
        </w:div>
      </w:divsChild>
    </w:div>
    <w:div w:id="1991447245">
      <w:bodyDiv w:val="1"/>
      <w:marLeft w:val="0"/>
      <w:marRight w:val="0"/>
      <w:marTop w:val="0"/>
      <w:marBottom w:val="0"/>
      <w:divBdr>
        <w:top w:val="none" w:sz="0" w:space="0" w:color="auto"/>
        <w:left w:val="none" w:sz="0" w:space="0" w:color="auto"/>
        <w:bottom w:val="none" w:sz="0" w:space="0" w:color="auto"/>
        <w:right w:val="none" w:sz="0" w:space="0" w:color="auto"/>
      </w:divBdr>
      <w:divsChild>
        <w:div w:id="1272201820">
          <w:marLeft w:val="0"/>
          <w:marRight w:val="0"/>
          <w:marTop w:val="0"/>
          <w:marBottom w:val="0"/>
          <w:divBdr>
            <w:top w:val="none" w:sz="0" w:space="0" w:color="auto"/>
            <w:left w:val="none" w:sz="0" w:space="0" w:color="auto"/>
            <w:bottom w:val="none" w:sz="0" w:space="0" w:color="auto"/>
            <w:right w:val="none" w:sz="0" w:space="0" w:color="auto"/>
          </w:divBdr>
        </w:div>
        <w:div w:id="1825007303">
          <w:marLeft w:val="0"/>
          <w:marRight w:val="0"/>
          <w:marTop w:val="0"/>
          <w:marBottom w:val="0"/>
          <w:divBdr>
            <w:top w:val="none" w:sz="0" w:space="0" w:color="auto"/>
            <w:left w:val="none" w:sz="0" w:space="0" w:color="auto"/>
            <w:bottom w:val="none" w:sz="0" w:space="0" w:color="auto"/>
            <w:right w:val="none" w:sz="0" w:space="0" w:color="auto"/>
          </w:divBdr>
        </w:div>
      </w:divsChild>
    </w:div>
    <w:div w:id="2131362612">
      <w:bodyDiv w:val="1"/>
      <w:marLeft w:val="0"/>
      <w:marRight w:val="0"/>
      <w:marTop w:val="0"/>
      <w:marBottom w:val="0"/>
      <w:divBdr>
        <w:top w:val="none" w:sz="0" w:space="0" w:color="auto"/>
        <w:left w:val="none" w:sz="0" w:space="0" w:color="auto"/>
        <w:bottom w:val="none" w:sz="0" w:space="0" w:color="auto"/>
        <w:right w:val="none" w:sz="0" w:space="0" w:color="auto"/>
      </w:divBdr>
      <w:divsChild>
        <w:div w:id="1415274557">
          <w:marLeft w:val="0"/>
          <w:marRight w:val="0"/>
          <w:marTop w:val="0"/>
          <w:marBottom w:val="0"/>
          <w:divBdr>
            <w:top w:val="none" w:sz="0" w:space="0" w:color="auto"/>
            <w:left w:val="none" w:sz="0" w:space="0" w:color="auto"/>
            <w:bottom w:val="none" w:sz="0" w:space="0" w:color="auto"/>
            <w:right w:val="none" w:sz="0" w:space="0" w:color="auto"/>
          </w:divBdr>
        </w:div>
        <w:div w:id="995914963">
          <w:marLeft w:val="0"/>
          <w:marRight w:val="0"/>
          <w:marTop w:val="0"/>
          <w:marBottom w:val="0"/>
          <w:divBdr>
            <w:top w:val="none" w:sz="0" w:space="0" w:color="auto"/>
            <w:left w:val="none" w:sz="0" w:space="0" w:color="auto"/>
            <w:bottom w:val="none" w:sz="0" w:space="0" w:color="auto"/>
            <w:right w:val="none" w:sz="0" w:space="0" w:color="auto"/>
          </w:divBdr>
        </w:div>
        <w:div w:id="2112625395">
          <w:marLeft w:val="0"/>
          <w:marRight w:val="0"/>
          <w:marTop w:val="0"/>
          <w:marBottom w:val="0"/>
          <w:divBdr>
            <w:top w:val="none" w:sz="0" w:space="0" w:color="auto"/>
            <w:left w:val="none" w:sz="0" w:space="0" w:color="auto"/>
            <w:bottom w:val="none" w:sz="0" w:space="0" w:color="auto"/>
            <w:right w:val="none" w:sz="0" w:space="0" w:color="auto"/>
          </w:divBdr>
        </w:div>
        <w:div w:id="2022470809">
          <w:marLeft w:val="0"/>
          <w:marRight w:val="0"/>
          <w:marTop w:val="0"/>
          <w:marBottom w:val="0"/>
          <w:divBdr>
            <w:top w:val="none" w:sz="0" w:space="0" w:color="auto"/>
            <w:left w:val="none" w:sz="0" w:space="0" w:color="auto"/>
            <w:bottom w:val="none" w:sz="0" w:space="0" w:color="auto"/>
            <w:right w:val="none" w:sz="0" w:space="0" w:color="auto"/>
          </w:divBdr>
        </w:div>
        <w:div w:id="698626266">
          <w:marLeft w:val="0"/>
          <w:marRight w:val="0"/>
          <w:marTop w:val="0"/>
          <w:marBottom w:val="0"/>
          <w:divBdr>
            <w:top w:val="none" w:sz="0" w:space="0" w:color="auto"/>
            <w:left w:val="none" w:sz="0" w:space="0" w:color="auto"/>
            <w:bottom w:val="none" w:sz="0" w:space="0" w:color="auto"/>
            <w:right w:val="none" w:sz="0" w:space="0" w:color="auto"/>
          </w:divBdr>
        </w:div>
        <w:div w:id="852720271">
          <w:marLeft w:val="0"/>
          <w:marRight w:val="0"/>
          <w:marTop w:val="0"/>
          <w:marBottom w:val="0"/>
          <w:divBdr>
            <w:top w:val="none" w:sz="0" w:space="0" w:color="auto"/>
            <w:left w:val="none" w:sz="0" w:space="0" w:color="auto"/>
            <w:bottom w:val="none" w:sz="0" w:space="0" w:color="auto"/>
            <w:right w:val="none" w:sz="0" w:space="0" w:color="auto"/>
          </w:divBdr>
        </w:div>
        <w:div w:id="1643462413">
          <w:marLeft w:val="0"/>
          <w:marRight w:val="0"/>
          <w:marTop w:val="0"/>
          <w:marBottom w:val="0"/>
          <w:divBdr>
            <w:top w:val="none" w:sz="0" w:space="0" w:color="auto"/>
            <w:left w:val="none" w:sz="0" w:space="0" w:color="auto"/>
            <w:bottom w:val="none" w:sz="0" w:space="0" w:color="auto"/>
            <w:right w:val="none" w:sz="0" w:space="0" w:color="auto"/>
          </w:divBdr>
        </w:div>
        <w:div w:id="1783107948">
          <w:marLeft w:val="0"/>
          <w:marRight w:val="0"/>
          <w:marTop w:val="0"/>
          <w:marBottom w:val="0"/>
          <w:divBdr>
            <w:top w:val="none" w:sz="0" w:space="0" w:color="auto"/>
            <w:left w:val="none" w:sz="0" w:space="0" w:color="auto"/>
            <w:bottom w:val="none" w:sz="0" w:space="0" w:color="auto"/>
            <w:right w:val="none" w:sz="0" w:space="0" w:color="auto"/>
          </w:divBdr>
        </w:div>
        <w:div w:id="1642686666">
          <w:marLeft w:val="0"/>
          <w:marRight w:val="0"/>
          <w:marTop w:val="0"/>
          <w:marBottom w:val="0"/>
          <w:divBdr>
            <w:top w:val="none" w:sz="0" w:space="0" w:color="auto"/>
            <w:left w:val="none" w:sz="0" w:space="0" w:color="auto"/>
            <w:bottom w:val="none" w:sz="0" w:space="0" w:color="auto"/>
            <w:right w:val="none" w:sz="0" w:space="0" w:color="auto"/>
          </w:divBdr>
        </w:div>
        <w:div w:id="948854854">
          <w:marLeft w:val="0"/>
          <w:marRight w:val="0"/>
          <w:marTop w:val="0"/>
          <w:marBottom w:val="0"/>
          <w:divBdr>
            <w:top w:val="none" w:sz="0" w:space="0" w:color="auto"/>
            <w:left w:val="none" w:sz="0" w:space="0" w:color="auto"/>
            <w:bottom w:val="none" w:sz="0" w:space="0" w:color="auto"/>
            <w:right w:val="none" w:sz="0" w:space="0" w:color="auto"/>
          </w:divBdr>
        </w:div>
        <w:div w:id="106704933">
          <w:marLeft w:val="0"/>
          <w:marRight w:val="0"/>
          <w:marTop w:val="0"/>
          <w:marBottom w:val="0"/>
          <w:divBdr>
            <w:top w:val="none" w:sz="0" w:space="0" w:color="auto"/>
            <w:left w:val="none" w:sz="0" w:space="0" w:color="auto"/>
            <w:bottom w:val="none" w:sz="0" w:space="0" w:color="auto"/>
            <w:right w:val="none" w:sz="0" w:space="0" w:color="auto"/>
          </w:divBdr>
        </w:div>
        <w:div w:id="500588757">
          <w:marLeft w:val="0"/>
          <w:marRight w:val="0"/>
          <w:marTop w:val="0"/>
          <w:marBottom w:val="0"/>
          <w:divBdr>
            <w:top w:val="none" w:sz="0" w:space="0" w:color="auto"/>
            <w:left w:val="none" w:sz="0" w:space="0" w:color="auto"/>
            <w:bottom w:val="none" w:sz="0" w:space="0" w:color="auto"/>
            <w:right w:val="none" w:sz="0" w:space="0" w:color="auto"/>
          </w:divBdr>
        </w:div>
        <w:div w:id="1673601856">
          <w:marLeft w:val="0"/>
          <w:marRight w:val="0"/>
          <w:marTop w:val="0"/>
          <w:marBottom w:val="0"/>
          <w:divBdr>
            <w:top w:val="none" w:sz="0" w:space="0" w:color="auto"/>
            <w:left w:val="none" w:sz="0" w:space="0" w:color="auto"/>
            <w:bottom w:val="none" w:sz="0" w:space="0" w:color="auto"/>
            <w:right w:val="none" w:sz="0" w:space="0" w:color="auto"/>
          </w:divBdr>
        </w:div>
        <w:div w:id="1847750218">
          <w:marLeft w:val="0"/>
          <w:marRight w:val="0"/>
          <w:marTop w:val="0"/>
          <w:marBottom w:val="0"/>
          <w:divBdr>
            <w:top w:val="none" w:sz="0" w:space="0" w:color="auto"/>
            <w:left w:val="none" w:sz="0" w:space="0" w:color="auto"/>
            <w:bottom w:val="none" w:sz="0" w:space="0" w:color="auto"/>
            <w:right w:val="none" w:sz="0" w:space="0" w:color="auto"/>
          </w:divBdr>
        </w:div>
        <w:div w:id="722951688">
          <w:marLeft w:val="0"/>
          <w:marRight w:val="0"/>
          <w:marTop w:val="0"/>
          <w:marBottom w:val="0"/>
          <w:divBdr>
            <w:top w:val="none" w:sz="0" w:space="0" w:color="auto"/>
            <w:left w:val="none" w:sz="0" w:space="0" w:color="auto"/>
            <w:bottom w:val="none" w:sz="0" w:space="0" w:color="auto"/>
            <w:right w:val="none" w:sz="0" w:space="0" w:color="auto"/>
          </w:divBdr>
        </w:div>
        <w:div w:id="1962298689">
          <w:marLeft w:val="0"/>
          <w:marRight w:val="0"/>
          <w:marTop w:val="0"/>
          <w:marBottom w:val="0"/>
          <w:divBdr>
            <w:top w:val="none" w:sz="0" w:space="0" w:color="auto"/>
            <w:left w:val="none" w:sz="0" w:space="0" w:color="auto"/>
            <w:bottom w:val="none" w:sz="0" w:space="0" w:color="auto"/>
            <w:right w:val="none" w:sz="0" w:space="0" w:color="auto"/>
          </w:divBdr>
        </w:div>
        <w:div w:id="1505126974">
          <w:marLeft w:val="0"/>
          <w:marRight w:val="0"/>
          <w:marTop w:val="0"/>
          <w:marBottom w:val="0"/>
          <w:divBdr>
            <w:top w:val="none" w:sz="0" w:space="0" w:color="auto"/>
            <w:left w:val="none" w:sz="0" w:space="0" w:color="auto"/>
            <w:bottom w:val="none" w:sz="0" w:space="0" w:color="auto"/>
            <w:right w:val="none" w:sz="0" w:space="0" w:color="auto"/>
          </w:divBdr>
        </w:div>
        <w:div w:id="53284164">
          <w:marLeft w:val="0"/>
          <w:marRight w:val="0"/>
          <w:marTop w:val="0"/>
          <w:marBottom w:val="0"/>
          <w:divBdr>
            <w:top w:val="none" w:sz="0" w:space="0" w:color="auto"/>
            <w:left w:val="none" w:sz="0" w:space="0" w:color="auto"/>
            <w:bottom w:val="none" w:sz="0" w:space="0" w:color="auto"/>
            <w:right w:val="none" w:sz="0" w:space="0" w:color="auto"/>
          </w:divBdr>
        </w:div>
        <w:div w:id="1700277688">
          <w:marLeft w:val="0"/>
          <w:marRight w:val="0"/>
          <w:marTop w:val="0"/>
          <w:marBottom w:val="0"/>
          <w:divBdr>
            <w:top w:val="none" w:sz="0" w:space="0" w:color="auto"/>
            <w:left w:val="none" w:sz="0" w:space="0" w:color="auto"/>
            <w:bottom w:val="none" w:sz="0" w:space="0" w:color="auto"/>
            <w:right w:val="none" w:sz="0" w:space="0" w:color="auto"/>
          </w:divBdr>
        </w:div>
        <w:div w:id="2066834107">
          <w:marLeft w:val="0"/>
          <w:marRight w:val="0"/>
          <w:marTop w:val="0"/>
          <w:marBottom w:val="0"/>
          <w:divBdr>
            <w:top w:val="none" w:sz="0" w:space="0" w:color="auto"/>
            <w:left w:val="none" w:sz="0" w:space="0" w:color="auto"/>
            <w:bottom w:val="none" w:sz="0" w:space="0" w:color="auto"/>
            <w:right w:val="none" w:sz="0" w:space="0" w:color="auto"/>
          </w:divBdr>
        </w:div>
        <w:div w:id="140838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sanchit.singh</dc:creator>
  <cp:keywords/>
  <dc:description/>
  <cp:lastModifiedBy>CampusUser</cp:lastModifiedBy>
  <cp:revision>8</cp:revision>
  <dcterms:created xsi:type="dcterms:W3CDTF">2018-10-29T00:14:00Z</dcterms:created>
  <dcterms:modified xsi:type="dcterms:W3CDTF">2018-10-30T05:59:00Z</dcterms:modified>
</cp:coreProperties>
</file>