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2"/>
        </w:rPr>
        <w:t>Dashboard Review Against Business Requirements</w:t>
      </w:r>
    </w:p>
    <w:p>
      <w:pPr>
        <w:jc w:val="center"/>
      </w:pPr>
      <w:r>
        <w:rPr>
          <w:rFonts w:ascii="Times New Roman" w:hAnsi="Times New Roman" w:eastAsia="Times New Roman"/>
          <w:b/>
          <w:color w:val="000000"/>
          <w:sz w:val="22"/>
        </w:rPr>
        <w:t>Auto Parts SME | Phase 2 SQL and Power BI Reporting | Sprint 6</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line="240" w:lineRule="auto"/>
            </w:pPr>
            <w:r/>
            <w:r>
              <w:rPr>
                <w:rFonts w:ascii="Times New Roman" w:hAnsi="Times New Roman" w:eastAsia="Times New Roman"/>
                <w:b/>
                <w:color w:val="000000"/>
                <w:sz w:val="18"/>
              </w:rPr>
              <w:t>Field</w:t>
            </w:r>
          </w:p>
        </w:tc>
        <w:tc>
          <w:tcPr>
            <w:tcW w:type="dxa" w:w="5184"/>
            <w:vAlign w:val="center"/>
            <w:shd w:fill="D9EAF7"/>
          </w:tcPr>
          <w:p>
            <w:pPr>
              <w:spacing w:after="0" w:line="240" w:lineRule="auto"/>
            </w:pPr>
            <w:r/>
            <w:r>
              <w:rPr>
                <w:rFonts w:ascii="Times New Roman" w:hAnsi="Times New Roman" w:eastAsia="Times New Roman"/>
                <w:b/>
                <w:color w:val="000000"/>
                <w:sz w:val="18"/>
              </w:rPr>
              <w:t>Details</w:t>
            </w:r>
          </w:p>
        </w:tc>
      </w:tr>
      <w:tr>
        <w:tc>
          <w:tcPr>
            <w:tcW w:type="dxa" w:w="5184"/>
            <w:vAlign w:val="center"/>
          </w:tcPr>
          <w:p>
            <w:pPr>
              <w:spacing w:after="0" w:line="240" w:lineRule="auto"/>
            </w:pPr>
            <w:r/>
            <w:r>
              <w:rPr>
                <w:rFonts w:ascii="Times New Roman" w:hAnsi="Times New Roman" w:eastAsia="Times New Roman"/>
                <w:b w:val="0"/>
                <w:color w:val="000000"/>
                <w:sz w:val="18"/>
              </w:rPr>
              <w:t>Project</w:t>
            </w:r>
          </w:p>
        </w:tc>
        <w:tc>
          <w:tcPr>
            <w:tcW w:type="dxa" w:w="5184"/>
            <w:vAlign w:val="center"/>
          </w:tcPr>
          <w:p>
            <w:pPr>
              <w:spacing w:after="0" w:line="240" w:lineRule="auto"/>
            </w:pPr>
            <w:r/>
            <w:r>
              <w:rPr>
                <w:rFonts w:ascii="Times New Roman" w:hAnsi="Times New Roman" w:eastAsia="Times New Roman"/>
                <w:b w:val="0"/>
                <w:color w:val="000000"/>
                <w:sz w:val="18"/>
              </w:rPr>
              <w:t>Official Website and Customer Enquiry Management System for a UK Auto Parts SME</w:t>
            </w:r>
          </w:p>
        </w:tc>
      </w:tr>
      <w:tr>
        <w:tc>
          <w:tcPr>
            <w:tcW w:type="dxa" w:w="5184"/>
            <w:vAlign w:val="center"/>
          </w:tcPr>
          <w:p>
            <w:pPr>
              <w:spacing w:after="0" w:line="240" w:lineRule="auto"/>
            </w:pPr>
            <w:r/>
            <w:r>
              <w:rPr>
                <w:rFonts w:ascii="Times New Roman" w:hAnsi="Times New Roman" w:eastAsia="Times New Roman"/>
                <w:b w:val="0"/>
                <w:color w:val="000000"/>
                <w:sz w:val="18"/>
              </w:rPr>
              <w:t>Phase</w:t>
            </w:r>
          </w:p>
        </w:tc>
        <w:tc>
          <w:tcPr>
            <w:tcW w:type="dxa" w:w="5184"/>
            <w:vAlign w:val="center"/>
          </w:tcPr>
          <w:p>
            <w:pPr>
              <w:spacing w:after="0" w:line="240" w:lineRule="auto"/>
            </w:pPr>
            <w:r/>
            <w:r>
              <w:rPr>
                <w:rFonts w:ascii="Times New Roman" w:hAnsi="Times New Roman" w:eastAsia="Times New Roman"/>
                <w:b w:val="0"/>
                <w:color w:val="000000"/>
                <w:sz w:val="18"/>
              </w:rPr>
              <w:t>Phase 2 SQL and Power BI Reporting</w:t>
            </w:r>
          </w:p>
        </w:tc>
      </w:tr>
      <w:tr>
        <w:tc>
          <w:tcPr>
            <w:tcW w:type="dxa" w:w="5184"/>
            <w:vAlign w:val="center"/>
          </w:tcPr>
          <w:p>
            <w:pPr>
              <w:spacing w:after="0" w:line="240" w:lineRule="auto"/>
            </w:pPr>
            <w:r/>
            <w:r>
              <w:rPr>
                <w:rFonts w:ascii="Times New Roman" w:hAnsi="Times New Roman" w:eastAsia="Times New Roman"/>
                <w:b w:val="0"/>
                <w:color w:val="000000"/>
                <w:sz w:val="18"/>
              </w:rPr>
              <w:t>Sprint</w:t>
            </w:r>
          </w:p>
        </w:tc>
        <w:tc>
          <w:tcPr>
            <w:tcW w:type="dxa" w:w="5184"/>
            <w:vAlign w:val="center"/>
          </w:tcPr>
          <w:p>
            <w:pPr>
              <w:spacing w:after="0" w:line="240" w:lineRule="auto"/>
            </w:pPr>
            <w:r/>
            <w:r>
              <w:rPr>
                <w:rFonts w:ascii="Times New Roman" w:hAnsi="Times New Roman" w:eastAsia="Times New Roman"/>
                <w:b w:val="0"/>
                <w:color w:val="000000"/>
                <w:sz w:val="18"/>
              </w:rPr>
              <w:t>Sprint 6: Power BI Dashboard Build</w:t>
            </w:r>
          </w:p>
        </w:tc>
      </w:tr>
      <w:tr>
        <w:tc>
          <w:tcPr>
            <w:tcW w:type="dxa" w:w="5184"/>
            <w:vAlign w:val="center"/>
          </w:tcPr>
          <w:p>
            <w:pPr>
              <w:spacing w:after="0" w:line="240" w:lineRule="auto"/>
            </w:pPr>
            <w:r/>
            <w:r>
              <w:rPr>
                <w:rFonts w:ascii="Times New Roman" w:hAnsi="Times New Roman" w:eastAsia="Times New Roman"/>
                <w:b w:val="0"/>
                <w:color w:val="000000"/>
                <w:sz w:val="18"/>
              </w:rPr>
              <w:t>Document date</w:t>
            </w:r>
          </w:p>
        </w:tc>
        <w:tc>
          <w:tcPr>
            <w:tcW w:type="dxa" w:w="5184"/>
            <w:vAlign w:val="center"/>
          </w:tcPr>
          <w:p>
            <w:pPr>
              <w:spacing w:after="0" w:line="240" w:lineRule="auto"/>
            </w:pPr>
            <w:r/>
            <w:r>
              <w:rPr>
                <w:rFonts w:ascii="Times New Roman" w:hAnsi="Times New Roman" w:eastAsia="Times New Roman"/>
                <w:b w:val="0"/>
                <w:color w:val="000000"/>
                <w:sz w:val="18"/>
              </w:rPr>
              <w:t>26 June 2026</w:t>
            </w:r>
          </w:p>
        </w:tc>
      </w:tr>
      <w:tr>
        <w:tc>
          <w:tcPr>
            <w:tcW w:type="dxa" w:w="5184"/>
            <w:vAlign w:val="center"/>
          </w:tcPr>
          <w:p>
            <w:pPr>
              <w:spacing w:after="0" w:line="240" w:lineRule="auto"/>
            </w:pPr>
            <w:r/>
            <w:r>
              <w:rPr>
                <w:rFonts w:ascii="Times New Roman" w:hAnsi="Times New Roman" w:eastAsia="Times New Roman"/>
                <w:b w:val="0"/>
                <w:color w:val="000000"/>
                <w:sz w:val="18"/>
              </w:rPr>
              <w:t>Prepared by</w:t>
            </w:r>
          </w:p>
        </w:tc>
        <w:tc>
          <w:tcPr>
            <w:tcW w:type="dxa" w:w="5184"/>
            <w:vAlign w:val="center"/>
          </w:tcPr>
          <w:p>
            <w:pPr>
              <w:spacing w:after="0" w:line="240" w:lineRule="auto"/>
            </w:pPr>
            <w:r/>
            <w:r>
              <w:rPr>
                <w:rFonts w:ascii="Times New Roman" w:hAnsi="Times New Roman" w:eastAsia="Times New Roman"/>
                <w:b w:val="0"/>
                <w:color w:val="000000"/>
                <w:sz w:val="18"/>
              </w:rPr>
              <w:t>Business Analyst</w:t>
            </w:r>
          </w:p>
        </w:tc>
      </w:tr>
      <w:tr>
        <w:tc>
          <w:tcPr>
            <w:tcW w:type="dxa" w:w="5184"/>
            <w:vAlign w:val="center"/>
          </w:tcPr>
          <w:p>
            <w:pPr>
              <w:spacing w:after="0" w:line="240" w:lineRule="auto"/>
            </w:pPr>
            <w:r/>
            <w:r>
              <w:rPr>
                <w:rFonts w:ascii="Times New Roman" w:hAnsi="Times New Roman" w:eastAsia="Times New Roman"/>
                <w:b w:val="0"/>
                <w:color w:val="000000"/>
                <w:sz w:val="18"/>
              </w:rPr>
              <w:t>Review purpose</w:t>
            </w:r>
          </w:p>
        </w:tc>
        <w:tc>
          <w:tcPr>
            <w:tcW w:type="dxa" w:w="5184"/>
            <w:vAlign w:val="center"/>
          </w:tcPr>
          <w:p>
            <w:pPr>
              <w:spacing w:after="0" w:line="240" w:lineRule="auto"/>
            </w:pPr>
            <w:r/>
            <w:r>
              <w:rPr>
                <w:rFonts w:ascii="Times New Roman" w:hAnsi="Times New Roman" w:eastAsia="Times New Roman"/>
                <w:b w:val="0"/>
                <w:color w:val="000000"/>
                <w:sz w:val="18"/>
              </w:rPr>
              <w:t>Confirm that the Power BI dashboard meets approved business reporting requirements</w:t>
            </w:r>
          </w:p>
        </w:tc>
      </w:tr>
    </w:tbl>
    <w:p/>
    <w:p>
      <w:pPr>
        <w:pStyle w:val="Heading1"/>
      </w:pPr>
      <w:r>
        <w:rPr>
          <w:rFonts w:ascii="Times New Roman" w:hAnsi="Times New Roman" w:eastAsia="Times New Roman"/>
          <w:color w:val="000000"/>
        </w:rPr>
        <w:t>1. Review Objective</w:t>
      </w:r>
    </w:p>
    <w:p>
      <w:r>
        <w:rPr>
          <w:rFonts w:ascii="Times New Roman" w:hAnsi="Times New Roman" w:eastAsia="Times New Roman"/>
          <w:color w:val="000000"/>
        </w:rPr>
        <w:t>The objective of this review is to confirm that the Power BI dashboard built in Sprint 6 satisfies the approved business reporting needs for customer enquiry tracking, quote request analysis, lead pipeline monitoring, and management reporting. The review also checks that the dashboard is ready for UAT preparation and stakeholder review.</w:t>
      </w:r>
    </w:p>
    <w:p>
      <w:pPr>
        <w:pStyle w:val="Heading1"/>
      </w:pPr>
      <w:r>
        <w:rPr>
          <w:rFonts w:ascii="Times New Roman" w:hAnsi="Times New Roman" w:eastAsia="Times New Roman"/>
          <w:color w:val="000000"/>
        </w:rPr>
        <w:t>2. Dashboard Scope Reviewed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line="240" w:lineRule="auto"/>
            </w:pPr>
            <w:r/>
            <w:r>
              <w:rPr>
                <w:rFonts w:ascii="Times New Roman" w:hAnsi="Times New Roman" w:eastAsia="Times New Roman"/>
                <w:b/>
                <w:color w:val="000000"/>
                <w:sz w:val="18"/>
              </w:rPr>
              <w:t>Area</w:t>
            </w:r>
          </w:p>
        </w:tc>
        <w:tc>
          <w:tcPr>
            <w:tcW w:type="dxa" w:w="5184"/>
            <w:vAlign w:val="center"/>
            <w:shd w:fill="D9EAF7"/>
          </w:tcPr>
          <w:p>
            <w:pPr>
              <w:spacing w:after="0" w:line="240" w:lineRule="auto"/>
            </w:pPr>
            <w:r/>
            <w:r>
              <w:rPr>
                <w:rFonts w:ascii="Times New Roman" w:hAnsi="Times New Roman" w:eastAsia="Times New Roman"/>
                <w:b/>
                <w:color w:val="000000"/>
                <w:sz w:val="18"/>
              </w:rPr>
              <w:t>Reviewed item</w:t>
            </w:r>
          </w:p>
        </w:tc>
      </w:tr>
      <w:tr>
        <w:tc>
          <w:tcPr>
            <w:tcW w:type="dxa" w:w="5184"/>
            <w:vAlign w:val="center"/>
          </w:tcPr>
          <w:p>
            <w:pPr>
              <w:spacing w:after="0" w:line="240" w:lineRule="auto"/>
            </w:pPr>
            <w:r/>
            <w:r>
              <w:rPr>
                <w:rFonts w:ascii="Times New Roman" w:hAnsi="Times New Roman" w:eastAsia="Times New Roman"/>
                <w:b w:val="0"/>
                <w:color w:val="000000"/>
                <w:sz w:val="18"/>
              </w:rPr>
              <w:t>KPI cards</w:t>
            </w:r>
          </w:p>
        </w:tc>
        <w:tc>
          <w:tcPr>
            <w:tcW w:type="dxa" w:w="5184"/>
            <w:vAlign w:val="center"/>
          </w:tcPr>
          <w:p>
            <w:pPr>
              <w:spacing w:after="0" w:line="240" w:lineRule="auto"/>
            </w:pPr>
            <w:r/>
            <w:r>
              <w:rPr>
                <w:rFonts w:ascii="Times New Roman" w:hAnsi="Times New Roman" w:eastAsia="Times New Roman"/>
                <w:b w:val="0"/>
                <w:color w:val="000000"/>
                <w:sz w:val="18"/>
              </w:rPr>
              <w:t>Total Customers, Total Enquiries, Total Quotes, Quote Value, Average Quote Value, Open Enquiries, Closed Enquiries, Quote Request Rate</w:t>
            </w:r>
          </w:p>
        </w:tc>
      </w:tr>
      <w:tr>
        <w:tc>
          <w:tcPr>
            <w:tcW w:type="dxa" w:w="5184"/>
            <w:vAlign w:val="center"/>
          </w:tcPr>
          <w:p>
            <w:pPr>
              <w:spacing w:after="0" w:line="240" w:lineRule="auto"/>
            </w:pPr>
            <w:r/>
            <w:r>
              <w:rPr>
                <w:rFonts w:ascii="Times New Roman" w:hAnsi="Times New Roman" w:eastAsia="Times New Roman"/>
                <w:b w:val="0"/>
                <w:color w:val="000000"/>
                <w:sz w:val="18"/>
              </w:rPr>
              <w:t>Charts and visuals</w:t>
            </w:r>
          </w:p>
        </w:tc>
        <w:tc>
          <w:tcPr>
            <w:tcW w:type="dxa" w:w="5184"/>
            <w:vAlign w:val="center"/>
          </w:tcPr>
          <w:p>
            <w:pPr>
              <w:spacing w:after="0" w:line="240" w:lineRule="auto"/>
            </w:pPr>
            <w:r/>
            <w:r>
              <w:rPr>
                <w:rFonts w:ascii="Times New Roman" w:hAnsi="Times New Roman" w:eastAsia="Times New Roman"/>
                <w:b w:val="0"/>
                <w:color w:val="000000"/>
                <w:sz w:val="18"/>
              </w:rPr>
              <w:t>Enquiries by Source, Quote Value by Category, Active Lead Pipeline Status, Monthly Enquiry Trend</w:t>
            </w:r>
          </w:p>
        </w:tc>
      </w:tr>
      <w:tr>
        <w:tc>
          <w:tcPr>
            <w:tcW w:type="dxa" w:w="5184"/>
            <w:vAlign w:val="center"/>
          </w:tcPr>
          <w:p>
            <w:pPr>
              <w:spacing w:after="0" w:line="240" w:lineRule="auto"/>
            </w:pPr>
            <w:r/>
            <w:r>
              <w:rPr>
                <w:rFonts w:ascii="Times New Roman" w:hAnsi="Times New Roman" w:eastAsia="Times New Roman"/>
                <w:b w:val="0"/>
                <w:color w:val="000000"/>
                <w:sz w:val="18"/>
              </w:rPr>
              <w:t>Filters / slicers</w:t>
            </w:r>
          </w:p>
        </w:tc>
        <w:tc>
          <w:tcPr>
            <w:tcW w:type="dxa" w:w="5184"/>
            <w:vAlign w:val="center"/>
          </w:tcPr>
          <w:p>
            <w:pPr>
              <w:spacing w:after="0" w:line="240" w:lineRule="auto"/>
            </w:pPr>
            <w:r/>
            <w:r>
              <w:rPr>
                <w:rFonts w:ascii="Times New Roman" w:hAnsi="Times New Roman" w:eastAsia="Times New Roman"/>
                <w:b w:val="0"/>
                <w:color w:val="000000"/>
                <w:sz w:val="18"/>
              </w:rPr>
              <w:t>Month, Enquiry Source, Product Category</w:t>
            </w:r>
          </w:p>
        </w:tc>
      </w:tr>
      <w:tr>
        <w:tc>
          <w:tcPr>
            <w:tcW w:type="dxa" w:w="5184"/>
            <w:vAlign w:val="center"/>
          </w:tcPr>
          <w:p>
            <w:pPr>
              <w:spacing w:after="0" w:line="240" w:lineRule="auto"/>
            </w:pPr>
            <w:r/>
            <w:r>
              <w:rPr>
                <w:rFonts w:ascii="Times New Roman" w:hAnsi="Times New Roman" w:eastAsia="Times New Roman"/>
                <w:b w:val="0"/>
                <w:color w:val="000000"/>
                <w:sz w:val="18"/>
              </w:rPr>
              <w:t>Data source</w:t>
            </w:r>
          </w:p>
        </w:tc>
        <w:tc>
          <w:tcPr>
            <w:tcW w:type="dxa" w:w="5184"/>
            <w:vAlign w:val="center"/>
          </w:tcPr>
          <w:p>
            <w:pPr>
              <w:spacing w:after="0" w:line="240" w:lineRule="auto"/>
            </w:pPr>
            <w:r/>
            <w:r>
              <w:rPr>
                <w:rFonts w:ascii="Times New Roman" w:hAnsi="Times New Roman" w:eastAsia="Times New Roman"/>
                <w:b w:val="0"/>
                <w:color w:val="000000"/>
                <w:sz w:val="18"/>
              </w:rPr>
              <w:t>Validated SQL Server Express reporting views from AutoPartsSME database</w:t>
            </w:r>
          </w:p>
        </w:tc>
      </w:tr>
      <w:tr>
        <w:tc>
          <w:tcPr>
            <w:tcW w:type="dxa" w:w="5184"/>
            <w:vAlign w:val="center"/>
          </w:tcPr>
          <w:p>
            <w:pPr>
              <w:spacing w:after="0" w:line="240" w:lineRule="auto"/>
            </w:pPr>
            <w:r/>
            <w:r>
              <w:rPr>
                <w:rFonts w:ascii="Times New Roman" w:hAnsi="Times New Roman" w:eastAsia="Times New Roman"/>
                <w:b w:val="0"/>
                <w:color w:val="000000"/>
                <w:sz w:val="18"/>
              </w:rPr>
              <w:t>Validation basis</w:t>
            </w:r>
          </w:p>
        </w:tc>
        <w:tc>
          <w:tcPr>
            <w:tcW w:type="dxa" w:w="5184"/>
            <w:vAlign w:val="center"/>
          </w:tcPr>
          <w:p>
            <w:pPr>
              <w:spacing w:after="0" w:line="240" w:lineRule="auto"/>
            </w:pPr>
            <w:r/>
            <w:r>
              <w:rPr>
                <w:rFonts w:ascii="Times New Roman" w:hAnsi="Times New Roman" w:eastAsia="Times New Roman"/>
                <w:b w:val="0"/>
                <w:color w:val="000000"/>
                <w:sz w:val="18"/>
              </w:rPr>
              <w:t>Dashboard numbers were checked against SQL outputs during Sprint 6 QA validation</w:t>
            </w:r>
          </w:p>
        </w:tc>
      </w:tr>
    </w:tbl>
    <w:p/>
    <w:p>
      <w:pPr>
        <w:pStyle w:val="Heading1"/>
      </w:pPr>
      <w:r>
        <w:rPr>
          <w:rFonts w:ascii="Times New Roman" w:hAnsi="Times New Roman" w:eastAsia="Times New Roman"/>
          <w:color w:val="000000"/>
        </w:rPr>
        <w:t>3. Business Requirement Traceability Review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line="240" w:lineRule="auto"/>
            </w:pPr>
            <w:r/>
            <w:r>
              <w:rPr>
                <w:rFonts w:ascii="Times New Roman" w:hAnsi="Times New Roman" w:eastAsia="Times New Roman"/>
                <w:b/>
                <w:color w:val="000000"/>
                <w:sz w:val="18"/>
              </w:rPr>
              <w:t>Business requirement</w:t>
            </w:r>
          </w:p>
        </w:tc>
        <w:tc>
          <w:tcPr>
            <w:tcW w:type="dxa" w:w="2592"/>
            <w:vAlign w:val="center"/>
            <w:shd w:fill="D9EAF7"/>
          </w:tcPr>
          <w:p>
            <w:pPr>
              <w:spacing w:after="0" w:line="240" w:lineRule="auto"/>
            </w:pPr>
            <w:r/>
            <w:r>
              <w:rPr>
                <w:rFonts w:ascii="Times New Roman" w:hAnsi="Times New Roman" w:eastAsia="Times New Roman"/>
                <w:b/>
                <w:color w:val="000000"/>
                <w:sz w:val="18"/>
              </w:rPr>
              <w:t>Dashboard evidence</w:t>
            </w:r>
          </w:p>
        </w:tc>
        <w:tc>
          <w:tcPr>
            <w:tcW w:type="dxa" w:w="2592"/>
            <w:vAlign w:val="center"/>
            <w:shd w:fill="D9EAF7"/>
          </w:tcPr>
          <w:p>
            <w:pPr>
              <w:spacing w:after="0" w:line="240" w:lineRule="auto"/>
            </w:pPr>
            <w:r/>
            <w:r>
              <w:rPr>
                <w:rFonts w:ascii="Times New Roman" w:hAnsi="Times New Roman" w:eastAsia="Times New Roman"/>
                <w:b/>
                <w:color w:val="000000"/>
                <w:sz w:val="18"/>
              </w:rPr>
              <w:t>Review status</w:t>
            </w:r>
          </w:p>
        </w:tc>
        <w:tc>
          <w:tcPr>
            <w:tcW w:type="dxa" w:w="2592"/>
            <w:vAlign w:val="center"/>
            <w:shd w:fill="D9EAF7"/>
          </w:tcPr>
          <w:p>
            <w:pPr>
              <w:spacing w:after="0" w:line="240" w:lineRule="auto"/>
            </w:pPr>
            <w:r/>
            <w:r>
              <w:rPr>
                <w:rFonts w:ascii="Times New Roman" w:hAnsi="Times New Roman" w:eastAsia="Times New Roman"/>
                <w:b/>
                <w:color w:val="000000"/>
                <w:sz w:val="18"/>
              </w:rPr>
              <w:t>BA review note</w:t>
            </w:r>
          </w:p>
        </w:tc>
      </w:tr>
      <w:tr>
        <w:tc>
          <w:tcPr>
            <w:tcW w:type="dxa" w:w="2592"/>
            <w:vAlign w:val="center"/>
          </w:tcPr>
          <w:p>
            <w:pPr>
              <w:spacing w:after="0" w:line="240" w:lineRule="auto"/>
            </w:pPr>
            <w:r/>
            <w:r>
              <w:rPr>
                <w:rFonts w:ascii="Times New Roman" w:hAnsi="Times New Roman" w:eastAsia="Times New Roman"/>
                <w:b w:val="0"/>
                <w:color w:val="000000"/>
                <w:sz w:val="18"/>
              </w:rPr>
              <w:t>Track total customers</w:t>
            </w:r>
          </w:p>
        </w:tc>
        <w:tc>
          <w:tcPr>
            <w:tcW w:type="dxa" w:w="2592"/>
            <w:vAlign w:val="center"/>
          </w:tcPr>
          <w:p>
            <w:pPr>
              <w:spacing w:after="0" w:line="240" w:lineRule="auto"/>
            </w:pPr>
            <w:r/>
            <w:r>
              <w:rPr>
                <w:rFonts w:ascii="Times New Roman" w:hAnsi="Times New Roman" w:eastAsia="Times New Roman"/>
                <w:b w:val="0"/>
                <w:color w:val="000000"/>
                <w:sz w:val="18"/>
              </w:rPr>
              <w:t>Total Customers KPI card</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Customer volume is visible as a top-level KPI.</w:t>
            </w:r>
          </w:p>
        </w:tc>
      </w:tr>
      <w:tr>
        <w:tc>
          <w:tcPr>
            <w:tcW w:type="dxa" w:w="2592"/>
            <w:vAlign w:val="center"/>
          </w:tcPr>
          <w:p>
            <w:pPr>
              <w:spacing w:after="0" w:line="240" w:lineRule="auto"/>
            </w:pPr>
            <w:r/>
            <w:r>
              <w:rPr>
                <w:rFonts w:ascii="Times New Roman" w:hAnsi="Times New Roman" w:eastAsia="Times New Roman"/>
                <w:b w:val="0"/>
                <w:color w:val="000000"/>
                <w:sz w:val="18"/>
              </w:rPr>
              <w:t>Track total enquiries</w:t>
            </w:r>
          </w:p>
        </w:tc>
        <w:tc>
          <w:tcPr>
            <w:tcW w:type="dxa" w:w="2592"/>
            <w:vAlign w:val="center"/>
          </w:tcPr>
          <w:p>
            <w:pPr>
              <w:spacing w:after="0" w:line="240" w:lineRule="auto"/>
            </w:pPr>
            <w:r/>
            <w:r>
              <w:rPr>
                <w:rFonts w:ascii="Times New Roman" w:hAnsi="Times New Roman" w:eastAsia="Times New Roman"/>
                <w:b w:val="0"/>
                <w:color w:val="000000"/>
                <w:sz w:val="18"/>
              </w:rPr>
              <w:t>Total Enquiries KPI card</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Total enquiry count is available for management overview.</w:t>
            </w:r>
          </w:p>
        </w:tc>
      </w:tr>
      <w:tr>
        <w:tc>
          <w:tcPr>
            <w:tcW w:type="dxa" w:w="2592"/>
            <w:vAlign w:val="center"/>
          </w:tcPr>
          <w:p>
            <w:pPr>
              <w:spacing w:after="0" w:line="240" w:lineRule="auto"/>
            </w:pPr>
            <w:r/>
            <w:r>
              <w:rPr>
                <w:rFonts w:ascii="Times New Roman" w:hAnsi="Times New Roman" w:eastAsia="Times New Roman"/>
                <w:b w:val="0"/>
                <w:color w:val="000000"/>
                <w:sz w:val="18"/>
              </w:rPr>
              <w:t>Track quote requests</w:t>
            </w:r>
          </w:p>
        </w:tc>
        <w:tc>
          <w:tcPr>
            <w:tcW w:type="dxa" w:w="2592"/>
            <w:vAlign w:val="center"/>
          </w:tcPr>
          <w:p>
            <w:pPr>
              <w:spacing w:after="0" w:line="240" w:lineRule="auto"/>
            </w:pPr>
            <w:r/>
            <w:r>
              <w:rPr>
                <w:rFonts w:ascii="Times New Roman" w:hAnsi="Times New Roman" w:eastAsia="Times New Roman"/>
                <w:b w:val="0"/>
                <w:color w:val="000000"/>
                <w:sz w:val="18"/>
              </w:rPr>
              <w:t>Total Quotes KPI card</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Quote request volume is visible for sales enquiry tracking.</w:t>
            </w:r>
          </w:p>
        </w:tc>
      </w:tr>
      <w:tr>
        <w:tc>
          <w:tcPr>
            <w:tcW w:type="dxa" w:w="2592"/>
            <w:vAlign w:val="center"/>
          </w:tcPr>
          <w:p>
            <w:pPr>
              <w:spacing w:after="0" w:line="240" w:lineRule="auto"/>
            </w:pPr>
            <w:r/>
            <w:r>
              <w:rPr>
                <w:rFonts w:ascii="Times New Roman" w:hAnsi="Times New Roman" w:eastAsia="Times New Roman"/>
                <w:b w:val="0"/>
                <w:color w:val="000000"/>
                <w:sz w:val="18"/>
              </w:rPr>
              <w:t>Track quote value</w:t>
            </w:r>
          </w:p>
        </w:tc>
        <w:tc>
          <w:tcPr>
            <w:tcW w:type="dxa" w:w="2592"/>
            <w:vAlign w:val="center"/>
          </w:tcPr>
          <w:p>
            <w:pPr>
              <w:spacing w:after="0" w:line="240" w:lineRule="auto"/>
            </w:pPr>
            <w:r/>
            <w:r>
              <w:rPr>
                <w:rFonts w:ascii="Times New Roman" w:hAnsi="Times New Roman" w:eastAsia="Times New Roman"/>
                <w:b w:val="0"/>
                <w:color w:val="000000"/>
                <w:sz w:val="18"/>
              </w:rPr>
              <w:t>Quote Value and Average Quote Value KPI cards</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Total and average quote values support commercial reporting.</w:t>
            </w:r>
          </w:p>
        </w:tc>
      </w:tr>
      <w:tr>
        <w:tc>
          <w:tcPr>
            <w:tcW w:type="dxa" w:w="2592"/>
            <w:vAlign w:val="center"/>
          </w:tcPr>
          <w:p>
            <w:pPr>
              <w:spacing w:after="0" w:line="240" w:lineRule="auto"/>
            </w:pPr>
            <w:r/>
            <w:r>
              <w:rPr>
                <w:rFonts w:ascii="Times New Roman" w:hAnsi="Times New Roman" w:eastAsia="Times New Roman"/>
                <w:b w:val="0"/>
                <w:color w:val="000000"/>
                <w:sz w:val="18"/>
              </w:rPr>
              <w:t>Track enquiry status</w:t>
            </w:r>
          </w:p>
        </w:tc>
        <w:tc>
          <w:tcPr>
            <w:tcW w:type="dxa" w:w="2592"/>
            <w:vAlign w:val="center"/>
          </w:tcPr>
          <w:p>
            <w:pPr>
              <w:spacing w:after="0" w:line="240" w:lineRule="auto"/>
            </w:pPr>
            <w:r/>
            <w:r>
              <w:rPr>
                <w:rFonts w:ascii="Times New Roman" w:hAnsi="Times New Roman" w:eastAsia="Times New Roman"/>
                <w:b w:val="0"/>
                <w:color w:val="000000"/>
                <w:sz w:val="18"/>
              </w:rPr>
              <w:t>Open Enquiries and Closed Enquiries KPI cards</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Open and closed enquiry counts support operational follow-up.</w:t>
            </w:r>
          </w:p>
        </w:tc>
      </w:tr>
      <w:tr>
        <w:tc>
          <w:tcPr>
            <w:tcW w:type="dxa" w:w="2592"/>
            <w:vAlign w:val="center"/>
          </w:tcPr>
          <w:p>
            <w:pPr>
              <w:spacing w:after="0" w:line="240" w:lineRule="auto"/>
            </w:pPr>
            <w:r/>
            <w:r>
              <w:rPr>
                <w:rFonts w:ascii="Times New Roman" w:hAnsi="Times New Roman" w:eastAsia="Times New Roman"/>
                <w:b w:val="0"/>
                <w:color w:val="000000"/>
                <w:sz w:val="18"/>
              </w:rPr>
              <w:t>Measure quote request rate</w:t>
            </w:r>
          </w:p>
        </w:tc>
        <w:tc>
          <w:tcPr>
            <w:tcW w:type="dxa" w:w="2592"/>
            <w:vAlign w:val="center"/>
          </w:tcPr>
          <w:p>
            <w:pPr>
              <w:spacing w:after="0" w:line="240" w:lineRule="auto"/>
            </w:pPr>
            <w:r/>
            <w:r>
              <w:rPr>
                <w:rFonts w:ascii="Times New Roman" w:hAnsi="Times New Roman" w:eastAsia="Times New Roman"/>
                <w:b w:val="0"/>
                <w:color w:val="000000"/>
                <w:sz w:val="18"/>
              </w:rPr>
              <w:t>Quote Request Rate KPI card</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Shows the percentage of enquiries with at least one quote request.</w:t>
            </w:r>
          </w:p>
        </w:tc>
      </w:tr>
      <w:tr>
        <w:tc>
          <w:tcPr>
            <w:tcW w:type="dxa" w:w="2592"/>
            <w:vAlign w:val="center"/>
          </w:tcPr>
          <w:p>
            <w:pPr>
              <w:spacing w:after="0" w:line="240" w:lineRule="auto"/>
            </w:pPr>
            <w:r/>
            <w:r>
              <w:rPr>
                <w:rFonts w:ascii="Times New Roman" w:hAnsi="Times New Roman" w:eastAsia="Times New Roman"/>
                <w:b w:val="0"/>
                <w:color w:val="000000"/>
                <w:sz w:val="18"/>
              </w:rPr>
              <w:t>Analyse enquiry source</w:t>
            </w:r>
          </w:p>
        </w:tc>
        <w:tc>
          <w:tcPr>
            <w:tcW w:type="dxa" w:w="2592"/>
            <w:vAlign w:val="center"/>
          </w:tcPr>
          <w:p>
            <w:pPr>
              <w:spacing w:after="0" w:line="240" w:lineRule="auto"/>
            </w:pPr>
            <w:r/>
            <w:r>
              <w:rPr>
                <w:rFonts w:ascii="Times New Roman" w:hAnsi="Times New Roman" w:eastAsia="Times New Roman"/>
                <w:b w:val="0"/>
                <w:color w:val="000000"/>
                <w:sz w:val="18"/>
              </w:rPr>
              <w:t>Enquiries by Source chart and Enquiry Source slicer</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Shows which channels generate customer enquiries.</w:t>
            </w:r>
          </w:p>
        </w:tc>
      </w:tr>
      <w:tr>
        <w:tc>
          <w:tcPr>
            <w:tcW w:type="dxa" w:w="2592"/>
            <w:vAlign w:val="center"/>
          </w:tcPr>
          <w:p>
            <w:pPr>
              <w:spacing w:after="0" w:line="240" w:lineRule="auto"/>
            </w:pPr>
            <w:r/>
            <w:r>
              <w:rPr>
                <w:rFonts w:ascii="Times New Roman" w:hAnsi="Times New Roman" w:eastAsia="Times New Roman"/>
                <w:b w:val="0"/>
                <w:color w:val="000000"/>
                <w:sz w:val="18"/>
              </w:rPr>
              <w:t>Analyse quote value by category</w:t>
            </w:r>
          </w:p>
        </w:tc>
        <w:tc>
          <w:tcPr>
            <w:tcW w:type="dxa" w:w="2592"/>
            <w:vAlign w:val="center"/>
          </w:tcPr>
          <w:p>
            <w:pPr>
              <w:spacing w:after="0" w:line="240" w:lineRule="auto"/>
            </w:pPr>
            <w:r/>
            <w:r>
              <w:rPr>
                <w:rFonts w:ascii="Times New Roman" w:hAnsi="Times New Roman" w:eastAsia="Times New Roman"/>
                <w:b w:val="0"/>
                <w:color w:val="000000"/>
                <w:sz w:val="18"/>
              </w:rPr>
              <w:t>Quote Value by Category chart and Product Category slicer</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Shows quote value distribution across product categories.</w:t>
            </w:r>
          </w:p>
        </w:tc>
      </w:tr>
      <w:tr>
        <w:tc>
          <w:tcPr>
            <w:tcW w:type="dxa" w:w="2592"/>
            <w:vAlign w:val="center"/>
          </w:tcPr>
          <w:p>
            <w:pPr>
              <w:spacing w:after="0" w:line="240" w:lineRule="auto"/>
            </w:pPr>
            <w:r/>
            <w:r>
              <w:rPr>
                <w:rFonts w:ascii="Times New Roman" w:hAnsi="Times New Roman" w:eastAsia="Times New Roman"/>
                <w:b w:val="0"/>
                <w:color w:val="000000"/>
                <w:sz w:val="18"/>
              </w:rPr>
              <w:t>Monitor lead pipeline</w:t>
            </w:r>
          </w:p>
        </w:tc>
        <w:tc>
          <w:tcPr>
            <w:tcW w:type="dxa" w:w="2592"/>
            <w:vAlign w:val="center"/>
          </w:tcPr>
          <w:p>
            <w:pPr>
              <w:spacing w:after="0" w:line="240" w:lineRule="auto"/>
            </w:pPr>
            <w:r/>
            <w:r>
              <w:rPr>
                <w:rFonts w:ascii="Times New Roman" w:hAnsi="Times New Roman" w:eastAsia="Times New Roman"/>
                <w:b w:val="0"/>
                <w:color w:val="000000"/>
                <w:sz w:val="18"/>
              </w:rPr>
              <w:t>Active Lead Pipeline Status donut chart</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Shows active lead records by current lead status.</w:t>
            </w:r>
          </w:p>
        </w:tc>
      </w:tr>
      <w:tr>
        <w:tc>
          <w:tcPr>
            <w:tcW w:type="dxa" w:w="2592"/>
            <w:vAlign w:val="center"/>
          </w:tcPr>
          <w:p>
            <w:pPr>
              <w:spacing w:after="0" w:line="240" w:lineRule="auto"/>
            </w:pPr>
            <w:r/>
            <w:r>
              <w:rPr>
                <w:rFonts w:ascii="Times New Roman" w:hAnsi="Times New Roman" w:eastAsia="Times New Roman"/>
                <w:b w:val="0"/>
                <w:color w:val="000000"/>
                <w:sz w:val="18"/>
              </w:rPr>
              <w:t>Track enquiry trend over time</w:t>
            </w:r>
          </w:p>
        </w:tc>
        <w:tc>
          <w:tcPr>
            <w:tcW w:type="dxa" w:w="2592"/>
            <w:vAlign w:val="center"/>
          </w:tcPr>
          <w:p>
            <w:pPr>
              <w:spacing w:after="0" w:line="240" w:lineRule="auto"/>
            </w:pPr>
            <w:r/>
            <w:r>
              <w:rPr>
                <w:rFonts w:ascii="Times New Roman" w:hAnsi="Times New Roman" w:eastAsia="Times New Roman"/>
                <w:b w:val="0"/>
                <w:color w:val="000000"/>
                <w:sz w:val="18"/>
              </w:rPr>
              <w:t>Monthly Enquiry Trend chart and Month slicer</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Shows enquiry movement by month.</w:t>
            </w:r>
          </w:p>
        </w:tc>
      </w:tr>
      <w:tr>
        <w:tc>
          <w:tcPr>
            <w:tcW w:type="dxa" w:w="2592"/>
            <w:vAlign w:val="center"/>
          </w:tcPr>
          <w:p>
            <w:pPr>
              <w:spacing w:after="0" w:line="240" w:lineRule="auto"/>
            </w:pPr>
            <w:r/>
            <w:r>
              <w:rPr>
                <w:rFonts w:ascii="Times New Roman" w:hAnsi="Times New Roman" w:eastAsia="Times New Roman"/>
                <w:b w:val="0"/>
                <w:color w:val="000000"/>
                <w:sz w:val="18"/>
              </w:rPr>
              <w:t>Support dashboard filtering</w:t>
            </w:r>
          </w:p>
        </w:tc>
        <w:tc>
          <w:tcPr>
            <w:tcW w:type="dxa" w:w="2592"/>
            <w:vAlign w:val="center"/>
          </w:tcPr>
          <w:p>
            <w:pPr>
              <w:spacing w:after="0" w:line="240" w:lineRule="auto"/>
            </w:pPr>
            <w:r/>
            <w:r>
              <w:rPr>
                <w:rFonts w:ascii="Times New Roman" w:hAnsi="Times New Roman" w:eastAsia="Times New Roman"/>
                <w:b w:val="0"/>
                <w:color w:val="000000"/>
                <w:sz w:val="18"/>
              </w:rPr>
              <w:t>Month, Enquiry Source, Product Category dropdown slicers</w:t>
            </w:r>
          </w:p>
        </w:tc>
        <w:tc>
          <w:tcPr>
            <w:tcW w:type="dxa" w:w="2592"/>
            <w:vAlign w:val="center"/>
          </w:tcPr>
          <w:p>
            <w:pPr>
              <w:spacing w:after="0" w:line="240" w:lineRule="auto"/>
            </w:pPr>
            <w:r/>
            <w:r>
              <w:rPr>
                <w:rFonts w:ascii="Times New Roman" w:hAnsi="Times New Roman" w:eastAsia="Times New Roman"/>
                <w:b w:val="0"/>
                <w:color w:val="000000"/>
                <w:sz w:val="18"/>
              </w:rPr>
              <w:t>Met</w:t>
            </w:r>
          </w:p>
        </w:tc>
        <w:tc>
          <w:tcPr>
            <w:tcW w:type="dxa" w:w="2592"/>
            <w:vAlign w:val="center"/>
          </w:tcPr>
          <w:p>
            <w:pPr>
              <w:spacing w:after="0" w:line="240" w:lineRule="auto"/>
            </w:pPr>
            <w:r/>
            <w:r>
              <w:rPr>
                <w:rFonts w:ascii="Times New Roman" w:hAnsi="Times New Roman" w:eastAsia="Times New Roman"/>
                <w:b w:val="0"/>
                <w:color w:val="000000"/>
                <w:sz w:val="18"/>
              </w:rPr>
              <w:t>Users can filter dashboard views for focused analysis.</w:t>
            </w:r>
          </w:p>
        </w:tc>
      </w:tr>
    </w:tbl>
    <w:p/>
    <w:p>
      <w:pPr>
        <w:pStyle w:val="Heading1"/>
      </w:pPr>
      <w:r>
        <w:rPr>
          <w:rFonts w:ascii="Times New Roman" w:hAnsi="Times New Roman" w:eastAsia="Times New Roman"/>
          <w:color w:val="000000"/>
        </w:rPr>
        <w:t>4. KPI and Visual Review Summary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pPr>
              <w:spacing w:after="0" w:line="240" w:lineRule="auto"/>
            </w:pPr>
            <w:r/>
            <w:r>
              <w:rPr>
                <w:rFonts w:ascii="Times New Roman" w:hAnsi="Times New Roman" w:eastAsia="Times New Roman"/>
                <w:b/>
                <w:color w:val="000000"/>
                <w:sz w:val="18"/>
              </w:rPr>
              <w:t>Dashboard item</w:t>
            </w:r>
          </w:p>
        </w:tc>
        <w:tc>
          <w:tcPr>
            <w:tcW w:type="dxa" w:w="2592"/>
            <w:vAlign w:val="center"/>
            <w:shd w:fill="D9EAF7"/>
          </w:tcPr>
          <w:p>
            <w:pPr>
              <w:spacing w:after="0" w:line="240" w:lineRule="auto"/>
            </w:pPr>
            <w:r/>
            <w:r>
              <w:rPr>
                <w:rFonts w:ascii="Times New Roman" w:hAnsi="Times New Roman" w:eastAsia="Times New Roman"/>
                <w:b/>
                <w:color w:val="000000"/>
                <w:sz w:val="18"/>
              </w:rPr>
              <w:t>Visual type</w:t>
            </w:r>
          </w:p>
        </w:tc>
        <w:tc>
          <w:tcPr>
            <w:tcW w:type="dxa" w:w="2592"/>
            <w:vAlign w:val="center"/>
            <w:shd w:fill="D9EAF7"/>
          </w:tcPr>
          <w:p>
            <w:pPr>
              <w:spacing w:after="0" w:line="240" w:lineRule="auto"/>
            </w:pPr>
            <w:r/>
            <w:r>
              <w:rPr>
                <w:rFonts w:ascii="Times New Roman" w:hAnsi="Times New Roman" w:eastAsia="Times New Roman"/>
                <w:b/>
                <w:color w:val="000000"/>
                <w:sz w:val="18"/>
              </w:rPr>
              <w:t>Validation approach</w:t>
            </w:r>
          </w:p>
        </w:tc>
        <w:tc>
          <w:tcPr>
            <w:tcW w:type="dxa" w:w="2592"/>
            <w:vAlign w:val="center"/>
            <w:shd w:fill="D9EAF7"/>
          </w:tcPr>
          <w:p>
            <w:pPr>
              <w:spacing w:after="0" w:line="240" w:lineRule="auto"/>
            </w:pPr>
            <w:r/>
            <w:r>
              <w:rPr>
                <w:rFonts w:ascii="Times New Roman" w:hAnsi="Times New Roman" w:eastAsia="Times New Roman"/>
                <w:b/>
                <w:color w:val="000000"/>
                <w:sz w:val="18"/>
              </w:rPr>
              <w:t>Status</w:t>
            </w:r>
          </w:p>
        </w:tc>
      </w:tr>
      <w:tr>
        <w:tc>
          <w:tcPr>
            <w:tcW w:type="dxa" w:w="2592"/>
            <w:vAlign w:val="center"/>
          </w:tcPr>
          <w:p>
            <w:pPr>
              <w:spacing w:after="0" w:line="240" w:lineRule="auto"/>
            </w:pPr>
            <w:r/>
            <w:r>
              <w:rPr>
                <w:rFonts w:ascii="Times New Roman" w:hAnsi="Times New Roman" w:eastAsia="Times New Roman"/>
                <w:b w:val="0"/>
                <w:color w:val="000000"/>
                <w:sz w:val="18"/>
              </w:rPr>
              <w:t>Total Customers</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Total Enquiries</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Total Quotes</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Total Quote Value</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Average Quote Value</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Open Enquiries</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Closed Enquiries</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Quote Request Rate</w:t>
            </w:r>
          </w:p>
        </w:tc>
        <w:tc>
          <w:tcPr>
            <w:tcW w:type="dxa" w:w="2592"/>
            <w:vAlign w:val="center"/>
          </w:tcPr>
          <w:p>
            <w:pPr>
              <w:spacing w:after="0" w:line="240" w:lineRule="auto"/>
            </w:pPr>
            <w:r/>
            <w:r>
              <w:rPr>
                <w:rFonts w:ascii="Times New Roman" w:hAnsi="Times New Roman" w:eastAsia="Times New Roman"/>
                <w:b w:val="0"/>
                <w:color w:val="000000"/>
                <w:sz w:val="18"/>
              </w:rPr>
              <w:t>KPI card</w:t>
            </w:r>
          </w:p>
        </w:tc>
        <w:tc>
          <w:tcPr>
            <w:tcW w:type="dxa" w:w="2592"/>
            <w:vAlign w:val="center"/>
          </w:tcPr>
          <w:p>
            <w:pPr>
              <w:spacing w:after="0" w:line="240" w:lineRule="auto"/>
            </w:pPr>
            <w:r/>
            <w:r>
              <w:rPr>
                <w:rFonts w:ascii="Times New Roman" w:hAnsi="Times New Roman" w:eastAsia="Times New Roman"/>
                <w:b w:val="0"/>
                <w:color w:val="000000"/>
                <w:sz w:val="18"/>
              </w:rPr>
              <w:t>Validated against SQL</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Enquiries by Source</w:t>
            </w:r>
          </w:p>
        </w:tc>
        <w:tc>
          <w:tcPr>
            <w:tcW w:type="dxa" w:w="2592"/>
            <w:vAlign w:val="center"/>
          </w:tcPr>
          <w:p>
            <w:pPr>
              <w:spacing w:after="0" w:line="240" w:lineRule="auto"/>
            </w:pPr>
            <w:r/>
            <w:r>
              <w:rPr>
                <w:rFonts w:ascii="Times New Roman" w:hAnsi="Times New Roman" w:eastAsia="Times New Roman"/>
                <w:b w:val="0"/>
                <w:color w:val="000000"/>
                <w:sz w:val="18"/>
              </w:rPr>
              <w:t>Column chart</w:t>
            </w:r>
          </w:p>
        </w:tc>
        <w:tc>
          <w:tcPr>
            <w:tcW w:type="dxa" w:w="2592"/>
            <w:vAlign w:val="center"/>
          </w:tcPr>
          <w:p>
            <w:pPr>
              <w:spacing w:after="0" w:line="240" w:lineRule="auto"/>
            </w:pPr>
            <w:r/>
            <w:r>
              <w:rPr>
                <w:rFonts w:ascii="Times New Roman" w:hAnsi="Times New Roman" w:eastAsia="Times New Roman"/>
                <w:b w:val="0"/>
                <w:color w:val="000000"/>
                <w:sz w:val="18"/>
              </w:rPr>
              <w:t>Validated against SQL grouped output</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Quote Value by Category</w:t>
            </w:r>
          </w:p>
        </w:tc>
        <w:tc>
          <w:tcPr>
            <w:tcW w:type="dxa" w:w="2592"/>
            <w:vAlign w:val="center"/>
          </w:tcPr>
          <w:p>
            <w:pPr>
              <w:spacing w:after="0" w:line="240" w:lineRule="auto"/>
            </w:pPr>
            <w:r/>
            <w:r>
              <w:rPr>
                <w:rFonts w:ascii="Times New Roman" w:hAnsi="Times New Roman" w:eastAsia="Times New Roman"/>
                <w:b w:val="0"/>
                <w:color w:val="000000"/>
                <w:sz w:val="18"/>
              </w:rPr>
              <w:t>Column chart</w:t>
            </w:r>
          </w:p>
        </w:tc>
        <w:tc>
          <w:tcPr>
            <w:tcW w:type="dxa" w:w="2592"/>
            <w:vAlign w:val="center"/>
          </w:tcPr>
          <w:p>
            <w:pPr>
              <w:spacing w:after="0" w:line="240" w:lineRule="auto"/>
            </w:pPr>
            <w:r/>
            <w:r>
              <w:rPr>
                <w:rFonts w:ascii="Times New Roman" w:hAnsi="Times New Roman" w:eastAsia="Times New Roman"/>
                <w:b w:val="0"/>
                <w:color w:val="000000"/>
                <w:sz w:val="18"/>
              </w:rPr>
              <w:t>Validated against SQL grouped output</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Active Lead Pipeline Status</w:t>
            </w:r>
          </w:p>
        </w:tc>
        <w:tc>
          <w:tcPr>
            <w:tcW w:type="dxa" w:w="2592"/>
            <w:vAlign w:val="center"/>
          </w:tcPr>
          <w:p>
            <w:pPr>
              <w:spacing w:after="0" w:line="240" w:lineRule="auto"/>
            </w:pPr>
            <w:r/>
            <w:r>
              <w:rPr>
                <w:rFonts w:ascii="Times New Roman" w:hAnsi="Times New Roman" w:eastAsia="Times New Roman"/>
                <w:b w:val="0"/>
                <w:color w:val="000000"/>
                <w:sz w:val="18"/>
              </w:rPr>
              <w:t>Donut chart</w:t>
            </w:r>
          </w:p>
        </w:tc>
        <w:tc>
          <w:tcPr>
            <w:tcW w:type="dxa" w:w="2592"/>
            <w:vAlign w:val="center"/>
          </w:tcPr>
          <w:p>
            <w:pPr>
              <w:spacing w:after="0" w:line="240" w:lineRule="auto"/>
            </w:pPr>
            <w:r/>
            <w:r>
              <w:rPr>
                <w:rFonts w:ascii="Times New Roman" w:hAnsi="Times New Roman" w:eastAsia="Times New Roman"/>
                <w:b w:val="0"/>
                <w:color w:val="000000"/>
                <w:sz w:val="18"/>
              </w:rPr>
              <w:t>Validated against active lead status output</w:t>
            </w:r>
          </w:p>
        </w:tc>
        <w:tc>
          <w:tcPr>
            <w:tcW w:type="dxa" w:w="2592"/>
            <w:vAlign w:val="center"/>
          </w:tcPr>
          <w:p>
            <w:pPr>
              <w:spacing w:after="0" w:line="240" w:lineRule="auto"/>
            </w:pPr>
            <w:r/>
            <w:r>
              <w:rPr>
                <w:rFonts w:ascii="Times New Roman" w:hAnsi="Times New Roman" w:eastAsia="Times New Roman"/>
                <w:b w:val="0"/>
                <w:color w:val="000000"/>
                <w:sz w:val="18"/>
              </w:rPr>
              <w:t>Pass</w:t>
            </w:r>
          </w:p>
        </w:tc>
      </w:tr>
      <w:tr>
        <w:tc>
          <w:tcPr>
            <w:tcW w:type="dxa" w:w="2592"/>
            <w:vAlign w:val="center"/>
          </w:tcPr>
          <w:p>
            <w:pPr>
              <w:spacing w:after="0" w:line="240" w:lineRule="auto"/>
            </w:pPr>
            <w:r/>
            <w:r>
              <w:rPr>
                <w:rFonts w:ascii="Times New Roman" w:hAnsi="Times New Roman" w:eastAsia="Times New Roman"/>
                <w:b w:val="0"/>
                <w:color w:val="000000"/>
                <w:sz w:val="18"/>
              </w:rPr>
              <w:t>Monthly Enquiry Trend</w:t>
            </w:r>
          </w:p>
        </w:tc>
        <w:tc>
          <w:tcPr>
            <w:tcW w:type="dxa" w:w="2592"/>
            <w:vAlign w:val="center"/>
          </w:tcPr>
          <w:p>
            <w:pPr>
              <w:spacing w:after="0" w:line="240" w:lineRule="auto"/>
            </w:pPr>
            <w:r/>
            <w:r>
              <w:rPr>
                <w:rFonts w:ascii="Times New Roman" w:hAnsi="Times New Roman" w:eastAsia="Times New Roman"/>
                <w:b w:val="0"/>
                <w:color w:val="000000"/>
                <w:sz w:val="18"/>
              </w:rPr>
              <w:t>Column chart</w:t>
            </w:r>
          </w:p>
        </w:tc>
        <w:tc>
          <w:tcPr>
            <w:tcW w:type="dxa" w:w="2592"/>
            <w:vAlign w:val="center"/>
          </w:tcPr>
          <w:p>
            <w:pPr>
              <w:spacing w:after="0" w:line="240" w:lineRule="auto"/>
            </w:pPr>
            <w:r/>
            <w:r>
              <w:rPr>
                <w:rFonts w:ascii="Times New Roman" w:hAnsi="Times New Roman" w:eastAsia="Times New Roman"/>
                <w:b w:val="0"/>
                <w:color w:val="000000"/>
                <w:sz w:val="18"/>
              </w:rPr>
              <w:t>Validated against monthly SQL output</w:t>
            </w:r>
          </w:p>
        </w:tc>
        <w:tc>
          <w:tcPr>
            <w:tcW w:type="dxa" w:w="2592"/>
            <w:vAlign w:val="center"/>
          </w:tcPr>
          <w:p>
            <w:pPr>
              <w:spacing w:after="0" w:line="240" w:lineRule="auto"/>
            </w:pPr>
            <w:r/>
            <w:r>
              <w:rPr>
                <w:rFonts w:ascii="Times New Roman" w:hAnsi="Times New Roman" w:eastAsia="Times New Roman"/>
                <w:b w:val="0"/>
                <w:color w:val="000000"/>
                <w:sz w:val="18"/>
              </w:rPr>
              <w:t>Pass</w:t>
            </w:r>
          </w:p>
        </w:tc>
      </w:tr>
    </w:tbl>
    <w:p/>
    <w:p>
      <w:pPr>
        <w:pStyle w:val="Heading1"/>
      </w:pPr>
      <w:r>
        <w:rPr>
          <w:rFonts w:ascii="Times New Roman" w:hAnsi="Times New Roman" w:eastAsia="Times New Roman"/>
          <w:color w:val="000000"/>
        </w:rPr>
        <w:t>5. BA Observations</w:t>
      </w:r>
    </w:p>
    <w:p>
      <w:r>
        <w:rPr>
          <w:rFonts w:ascii="Times New Roman" w:hAnsi="Times New Roman" w:eastAsia="Times New Roman"/>
          <w:color w:val="000000"/>
        </w:rPr>
        <w:t>The dashboard supports the agreed business objective of monitoring enquiry volume, quote activity, lead status, source performance, product category demand, and monthly enquiry trends.</w:t>
      </w:r>
    </w:p>
    <w:p>
      <w:r>
        <w:rPr>
          <w:rFonts w:ascii="Times New Roman" w:hAnsi="Times New Roman" w:eastAsia="Times New Roman"/>
          <w:color w:val="000000"/>
        </w:rPr>
        <w:t>The dashboard uses validated SQL reporting views prepared during Sprint 5 and confirmed during Sprint 6 validation.</w:t>
      </w:r>
    </w:p>
    <w:p>
      <w:r>
        <w:rPr>
          <w:rFonts w:ascii="Times New Roman" w:hAnsi="Times New Roman" w:eastAsia="Times New Roman"/>
          <w:color w:val="000000"/>
        </w:rPr>
        <w:t>KPI cards are suitable for management-level summary, while charts and slicers support deeper analysis by source, category, status, and month.</w:t>
      </w:r>
    </w:p>
    <w:p>
      <w:r>
        <w:rPr>
          <w:rFonts w:ascii="Times New Roman" w:hAnsi="Times New Roman" w:eastAsia="Times New Roman"/>
          <w:color w:val="000000"/>
        </w:rPr>
        <w:t>The Quote Request Rate KPI was reviewed for business meaning and represents enquiries that have at least one quote request, avoiding misleading values above 100 percent.</w:t>
      </w:r>
    </w:p>
    <w:p>
      <w:r>
        <w:rPr>
          <w:rFonts w:ascii="Times New Roman" w:hAnsi="Times New Roman" w:eastAsia="Times New Roman"/>
          <w:color w:val="000000"/>
        </w:rPr>
        <w:t>No critical dashboard requirement gap was identified during this BA review.</w:t>
      </w:r>
    </w:p>
    <w:p>
      <w:pPr>
        <w:pStyle w:val="Heading1"/>
      </w:pPr>
      <w:r>
        <w:rPr>
          <w:rFonts w:ascii="Times New Roman" w:hAnsi="Times New Roman" w:eastAsia="Times New Roman"/>
          <w:color w:val="000000"/>
        </w:rPr>
        <w:t>6. Risks, Issues, and Follow-up Actions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pPr>
              <w:spacing w:after="0" w:line="240" w:lineRule="auto"/>
            </w:pPr>
            <w:r/>
            <w:r>
              <w:rPr>
                <w:rFonts w:ascii="Times New Roman" w:hAnsi="Times New Roman" w:eastAsia="Times New Roman"/>
                <w:b/>
                <w:color w:val="000000"/>
                <w:sz w:val="18"/>
              </w:rPr>
              <w:t>Risk / Issue</w:t>
            </w:r>
          </w:p>
        </w:tc>
        <w:tc>
          <w:tcPr>
            <w:tcW w:type="dxa" w:w="3456"/>
            <w:vAlign w:val="center"/>
            <w:shd w:fill="D9EAF7"/>
          </w:tcPr>
          <w:p>
            <w:pPr>
              <w:spacing w:after="0" w:line="240" w:lineRule="auto"/>
            </w:pPr>
            <w:r/>
            <w:r>
              <w:rPr>
                <w:rFonts w:ascii="Times New Roman" w:hAnsi="Times New Roman" w:eastAsia="Times New Roman"/>
                <w:b/>
                <w:color w:val="000000"/>
                <w:sz w:val="18"/>
              </w:rPr>
              <w:t>Impact</w:t>
            </w:r>
          </w:p>
        </w:tc>
        <w:tc>
          <w:tcPr>
            <w:tcW w:type="dxa" w:w="3456"/>
            <w:vAlign w:val="center"/>
            <w:shd w:fill="D9EAF7"/>
          </w:tcPr>
          <w:p>
            <w:pPr>
              <w:spacing w:after="0" w:line="240" w:lineRule="auto"/>
            </w:pPr>
            <w:r/>
            <w:r>
              <w:rPr>
                <w:rFonts w:ascii="Times New Roman" w:hAnsi="Times New Roman" w:eastAsia="Times New Roman"/>
                <w:b/>
                <w:color w:val="000000"/>
                <w:sz w:val="18"/>
              </w:rPr>
              <w:t>Action</w:t>
            </w:r>
          </w:p>
        </w:tc>
      </w:tr>
      <w:tr>
        <w:tc>
          <w:tcPr>
            <w:tcW w:type="dxa" w:w="3456"/>
            <w:vAlign w:val="center"/>
          </w:tcPr>
          <w:p>
            <w:pPr>
              <w:spacing w:after="0" w:line="240" w:lineRule="auto"/>
            </w:pPr>
            <w:r/>
            <w:r>
              <w:rPr>
                <w:rFonts w:ascii="Times New Roman" w:hAnsi="Times New Roman" w:eastAsia="Times New Roman"/>
                <w:b w:val="0"/>
                <w:color w:val="000000"/>
                <w:sz w:val="18"/>
              </w:rPr>
              <w:t>Dashboard data is based on sample data</w:t>
            </w:r>
          </w:p>
        </w:tc>
        <w:tc>
          <w:tcPr>
            <w:tcW w:type="dxa" w:w="3456"/>
            <w:vAlign w:val="center"/>
          </w:tcPr>
          <w:p>
            <w:pPr>
              <w:spacing w:after="0" w:line="240" w:lineRule="auto"/>
            </w:pPr>
            <w:r/>
            <w:r>
              <w:rPr>
                <w:rFonts w:ascii="Times New Roman" w:hAnsi="Times New Roman" w:eastAsia="Times New Roman"/>
                <w:b w:val="0"/>
                <w:color w:val="000000"/>
                <w:sz w:val="18"/>
              </w:rPr>
              <w:t>Low</w:t>
            </w:r>
          </w:p>
        </w:tc>
        <w:tc>
          <w:tcPr>
            <w:tcW w:type="dxa" w:w="3456"/>
            <w:vAlign w:val="center"/>
          </w:tcPr>
          <w:p>
            <w:pPr>
              <w:spacing w:after="0" w:line="240" w:lineRule="auto"/>
            </w:pPr>
            <w:r/>
            <w:r>
              <w:rPr>
                <w:rFonts w:ascii="Times New Roman" w:hAnsi="Times New Roman" w:eastAsia="Times New Roman"/>
                <w:b w:val="0"/>
                <w:color w:val="000000"/>
                <w:sz w:val="18"/>
              </w:rPr>
              <w:t>Use as portfolio/demo evidence only; real business reporting would require production data refresh process.</w:t>
            </w:r>
          </w:p>
        </w:tc>
      </w:tr>
      <w:tr>
        <w:tc>
          <w:tcPr>
            <w:tcW w:type="dxa" w:w="3456"/>
            <w:vAlign w:val="center"/>
          </w:tcPr>
          <w:p>
            <w:pPr>
              <w:spacing w:after="0" w:line="240" w:lineRule="auto"/>
            </w:pPr>
            <w:r/>
            <w:r>
              <w:rPr>
                <w:rFonts w:ascii="Times New Roman" w:hAnsi="Times New Roman" w:eastAsia="Times New Roman"/>
                <w:b w:val="0"/>
                <w:color w:val="000000"/>
                <w:sz w:val="18"/>
              </w:rPr>
              <w:t>Some visuals depend on SQL reporting view structure</w:t>
            </w:r>
          </w:p>
        </w:tc>
        <w:tc>
          <w:tcPr>
            <w:tcW w:type="dxa" w:w="3456"/>
            <w:vAlign w:val="center"/>
          </w:tcPr>
          <w:p>
            <w:pPr>
              <w:spacing w:after="0" w:line="240" w:lineRule="auto"/>
            </w:pPr>
            <w:r/>
            <w:r>
              <w:rPr>
                <w:rFonts w:ascii="Times New Roman" w:hAnsi="Times New Roman" w:eastAsia="Times New Roman"/>
                <w:b w:val="0"/>
                <w:color w:val="000000"/>
                <w:sz w:val="18"/>
              </w:rPr>
              <w:t>Low</w:t>
            </w:r>
          </w:p>
        </w:tc>
        <w:tc>
          <w:tcPr>
            <w:tcW w:type="dxa" w:w="3456"/>
            <w:vAlign w:val="center"/>
          </w:tcPr>
          <w:p>
            <w:pPr>
              <w:spacing w:after="0" w:line="240" w:lineRule="auto"/>
            </w:pPr>
            <w:r/>
            <w:r>
              <w:rPr>
                <w:rFonts w:ascii="Times New Roman" w:hAnsi="Times New Roman" w:eastAsia="Times New Roman"/>
                <w:b w:val="0"/>
                <w:color w:val="000000"/>
                <w:sz w:val="18"/>
              </w:rPr>
              <w:t>Maintain SQL view names and fields if dashboard is refreshed or rebuilt.</w:t>
            </w:r>
          </w:p>
        </w:tc>
      </w:tr>
      <w:tr>
        <w:tc>
          <w:tcPr>
            <w:tcW w:type="dxa" w:w="3456"/>
            <w:vAlign w:val="center"/>
          </w:tcPr>
          <w:p>
            <w:pPr>
              <w:spacing w:after="0" w:line="240" w:lineRule="auto"/>
            </w:pPr>
            <w:r/>
            <w:r>
              <w:rPr>
                <w:rFonts w:ascii="Times New Roman" w:hAnsi="Times New Roman" w:eastAsia="Times New Roman"/>
                <w:b w:val="0"/>
                <w:color w:val="000000"/>
                <w:sz w:val="18"/>
              </w:rPr>
              <w:t>Stakeholder preference for layout/colours may change</w:t>
            </w:r>
          </w:p>
        </w:tc>
        <w:tc>
          <w:tcPr>
            <w:tcW w:type="dxa" w:w="3456"/>
            <w:vAlign w:val="center"/>
          </w:tcPr>
          <w:p>
            <w:pPr>
              <w:spacing w:after="0" w:line="240" w:lineRule="auto"/>
            </w:pPr>
            <w:r/>
            <w:r>
              <w:rPr>
                <w:rFonts w:ascii="Times New Roman" w:hAnsi="Times New Roman" w:eastAsia="Times New Roman"/>
                <w:b w:val="0"/>
                <w:color w:val="000000"/>
                <w:sz w:val="18"/>
              </w:rPr>
              <w:t>Low</w:t>
            </w:r>
          </w:p>
        </w:tc>
        <w:tc>
          <w:tcPr>
            <w:tcW w:type="dxa" w:w="3456"/>
            <w:vAlign w:val="center"/>
          </w:tcPr>
          <w:p>
            <w:pPr>
              <w:spacing w:after="0" w:line="240" w:lineRule="auto"/>
            </w:pPr>
            <w:r/>
            <w:r>
              <w:rPr>
                <w:rFonts w:ascii="Times New Roman" w:hAnsi="Times New Roman" w:eastAsia="Times New Roman"/>
                <w:b w:val="0"/>
                <w:color w:val="000000"/>
                <w:sz w:val="18"/>
              </w:rPr>
              <w:t>Capture feedback during dashboard UAT.</w:t>
            </w:r>
          </w:p>
        </w:tc>
      </w:tr>
    </w:tbl>
    <w:p/>
    <w:p>
      <w:pPr>
        <w:pStyle w:val="Heading1"/>
      </w:pPr>
      <w:r>
        <w:rPr>
          <w:rFonts w:ascii="Times New Roman" w:hAnsi="Times New Roman" w:eastAsia="Times New Roman"/>
          <w:color w:val="000000"/>
        </w:rPr>
        <w:t>7. Review Decision</w:t>
      </w:r>
    </w:p>
    <w:p>
      <w:r>
        <w:rPr>
          <w:rFonts w:ascii="Times New Roman" w:hAnsi="Times New Roman" w:eastAsia="Times New Roman"/>
          <w:b/>
          <w:color w:val="000000"/>
        </w:rPr>
        <w:t xml:space="preserve">Review outcome: </w:t>
      </w:r>
      <w:r>
        <w:rPr>
          <w:rFonts w:ascii="Times New Roman" w:hAnsi="Times New Roman" w:eastAsia="Times New Roman"/>
          <w:color w:val="000000"/>
        </w:rPr>
        <w:t>Passed. The Power BI dashboard meets the approved business reporting requirements and is ready for Dashboard UAT Plan preparation.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0" w:line="240" w:lineRule="auto"/>
            </w:pPr>
            <w:r/>
            <w:r>
              <w:rPr>
                <w:rFonts w:ascii="Times New Roman" w:hAnsi="Times New Roman" w:eastAsia="Times New Roman"/>
                <w:b/>
                <w:color w:val="000000"/>
                <w:sz w:val="18"/>
              </w:rPr>
              <w:t>Item</w:t>
            </w:r>
          </w:p>
        </w:tc>
        <w:tc>
          <w:tcPr>
            <w:tcW w:type="dxa" w:w="5184"/>
            <w:vAlign w:val="center"/>
            <w:shd w:fill="D9EAF7"/>
          </w:tcPr>
          <w:p>
            <w:pPr>
              <w:spacing w:after="0" w:line="240" w:lineRule="auto"/>
            </w:pPr>
            <w:r/>
            <w:r>
              <w:rPr>
                <w:rFonts w:ascii="Times New Roman" w:hAnsi="Times New Roman" w:eastAsia="Times New Roman"/>
                <w:b/>
                <w:color w:val="000000"/>
                <w:sz w:val="18"/>
              </w:rPr>
              <w:t>Decision / Action</w:t>
            </w:r>
          </w:p>
        </w:tc>
      </w:tr>
      <w:tr>
        <w:tc>
          <w:tcPr>
            <w:tcW w:type="dxa" w:w="5184"/>
            <w:vAlign w:val="center"/>
          </w:tcPr>
          <w:p>
            <w:pPr>
              <w:spacing w:after="0" w:line="240" w:lineRule="auto"/>
            </w:pPr>
            <w:r/>
            <w:r>
              <w:rPr>
                <w:rFonts w:ascii="Times New Roman" w:hAnsi="Times New Roman" w:eastAsia="Times New Roman"/>
                <w:b w:val="0"/>
                <w:color w:val="000000"/>
                <w:sz w:val="18"/>
              </w:rPr>
              <w:t>BA review status</w:t>
            </w:r>
          </w:p>
        </w:tc>
        <w:tc>
          <w:tcPr>
            <w:tcW w:type="dxa" w:w="5184"/>
            <w:vAlign w:val="center"/>
          </w:tcPr>
          <w:p>
            <w:pPr>
              <w:spacing w:after="0" w:line="240" w:lineRule="auto"/>
            </w:pPr>
            <w:r/>
            <w:r>
              <w:rPr>
                <w:rFonts w:ascii="Times New Roman" w:hAnsi="Times New Roman" w:eastAsia="Times New Roman"/>
                <w:b w:val="0"/>
                <w:color w:val="000000"/>
                <w:sz w:val="18"/>
              </w:rPr>
              <w:t>Passed</w:t>
            </w:r>
          </w:p>
        </w:tc>
      </w:tr>
      <w:tr>
        <w:tc>
          <w:tcPr>
            <w:tcW w:type="dxa" w:w="5184"/>
            <w:vAlign w:val="center"/>
          </w:tcPr>
          <w:p>
            <w:pPr>
              <w:spacing w:after="0" w:line="240" w:lineRule="auto"/>
            </w:pPr>
            <w:r/>
            <w:r>
              <w:rPr>
                <w:rFonts w:ascii="Times New Roman" w:hAnsi="Times New Roman" w:eastAsia="Times New Roman"/>
                <w:b w:val="0"/>
                <w:color w:val="000000"/>
                <w:sz w:val="18"/>
              </w:rPr>
              <w:t>Ready for next task</w:t>
            </w:r>
          </w:p>
        </w:tc>
        <w:tc>
          <w:tcPr>
            <w:tcW w:type="dxa" w:w="5184"/>
            <w:vAlign w:val="center"/>
          </w:tcPr>
          <w:p>
            <w:pPr>
              <w:spacing w:after="0" w:line="240" w:lineRule="auto"/>
            </w:pPr>
            <w:r/>
            <w:r>
              <w:rPr>
                <w:rFonts w:ascii="Times New Roman" w:hAnsi="Times New Roman" w:eastAsia="Times New Roman"/>
                <w:b w:val="0"/>
                <w:color w:val="000000"/>
                <w:sz w:val="18"/>
              </w:rPr>
              <w:t>Prepare Dashboard UAT Plan</w:t>
            </w:r>
          </w:p>
        </w:tc>
      </w:tr>
      <w:tr>
        <w:tc>
          <w:tcPr>
            <w:tcW w:type="dxa" w:w="5184"/>
            <w:vAlign w:val="center"/>
          </w:tcPr>
          <w:p>
            <w:pPr>
              <w:spacing w:after="0" w:line="240" w:lineRule="auto"/>
            </w:pPr>
            <w:r/>
            <w:r>
              <w:rPr>
                <w:rFonts w:ascii="Times New Roman" w:hAnsi="Times New Roman" w:eastAsia="Times New Roman"/>
                <w:b w:val="0"/>
                <w:color w:val="000000"/>
                <w:sz w:val="18"/>
              </w:rPr>
              <w:t>Jira recommendation</w:t>
            </w:r>
          </w:p>
        </w:tc>
        <w:tc>
          <w:tcPr>
            <w:tcW w:type="dxa" w:w="5184"/>
            <w:vAlign w:val="center"/>
          </w:tcPr>
          <w:p>
            <w:pPr>
              <w:spacing w:after="0" w:line="240" w:lineRule="auto"/>
            </w:pPr>
            <w:r/>
            <w:r>
              <w:rPr>
                <w:rFonts w:ascii="Times New Roman" w:hAnsi="Times New Roman" w:eastAsia="Times New Roman"/>
                <w:b w:val="0"/>
                <w:color w:val="000000"/>
                <w:sz w:val="18"/>
              </w:rPr>
              <w:t>Move Review Dashboard Against Business Requirements from In Progress to Done</w:t>
            </w:r>
          </w:p>
        </w:tc>
      </w:tr>
      <w:tr>
        <w:tc>
          <w:tcPr>
            <w:tcW w:type="dxa" w:w="5184"/>
            <w:vAlign w:val="center"/>
          </w:tcPr>
          <w:p>
            <w:pPr>
              <w:spacing w:after="0" w:line="240" w:lineRule="auto"/>
            </w:pPr>
            <w:r/>
            <w:r>
              <w:rPr>
                <w:rFonts w:ascii="Times New Roman" w:hAnsi="Times New Roman" w:eastAsia="Times New Roman"/>
                <w:b w:val="0"/>
                <w:color w:val="000000"/>
                <w:sz w:val="18"/>
              </w:rPr>
              <w:t>Confluence update</w:t>
            </w:r>
          </w:p>
        </w:tc>
        <w:tc>
          <w:tcPr>
            <w:tcW w:type="dxa" w:w="5184"/>
            <w:vAlign w:val="center"/>
          </w:tcPr>
          <w:p>
            <w:pPr>
              <w:spacing w:after="0" w:line="240" w:lineRule="auto"/>
            </w:pPr>
            <w:r/>
            <w:r>
              <w:rPr>
                <w:rFonts w:ascii="Times New Roman" w:hAnsi="Times New Roman" w:eastAsia="Times New Roman"/>
                <w:b w:val="0"/>
                <w:color w:val="000000"/>
                <w:sz w:val="18"/>
              </w:rPr>
              <w:t>Attach this document and add review completion note</w:t>
            </w:r>
          </w:p>
        </w:tc>
      </w:tr>
    </w:tbl>
    <w:p/>
    <w:sectPr>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6"/>
      </w:rPr>
      <w:t>Auto Parts SME | Sprint 6 Dashboard Review | Anonymised BA Portfolio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eastAsia="Times New Roman"/>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