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2297" w:rsidRDefault="0078242E">
      <w:pPr>
        <w:pStyle w:val="Title"/>
      </w:pPr>
      <w:proofErr w:type="spellStart"/>
      <w:r>
        <w:t>scRNA-seq</w:t>
      </w:r>
      <w:proofErr w:type="spellEnd"/>
      <w:r>
        <w:t xml:space="preserve"> Analysis Results</w:t>
      </w:r>
    </w:p>
    <w:p w:rsidR="0078242E" w:rsidRPr="00A87F2D" w:rsidRDefault="0078242E" w:rsidP="0078242E">
      <w:pPr>
        <w:spacing w:after="0" w:line="360" w:lineRule="auto"/>
        <w:jc w:val="both"/>
        <w:rPr>
          <w:rFonts w:ascii="Times New Roman" w:eastAsia="Times New Roman" w:hAnsi="Times New Roman" w:cs="Times New Roman"/>
          <w:sz w:val="24"/>
          <w:szCs w:val="24"/>
          <w:lang w:eastAsia="en-IN"/>
        </w:rPr>
      </w:pPr>
      <w:bookmarkStart w:id="0" w:name="_GoBack"/>
      <w:r w:rsidRPr="00A87F2D">
        <w:rPr>
          <w:rFonts w:ascii="Times New Roman" w:eastAsia="Times New Roman" w:hAnsi="Times New Roman" w:cs="Times New Roman"/>
          <w:sz w:val="24"/>
          <w:szCs w:val="24"/>
          <w:lang w:eastAsia="en-IN"/>
        </w:rPr>
        <w:t>Following the implementation of the classical single-cell RNA sequencing analysis pipeline, the dataset underwent systematic pre-processing and refinement to ensure high-quality downstream interpretation. Initial quality control filtering significantly improved dataset integrity by removing low-quality cells characterized by extremely low gene counts, abnormally high gene counts suggestive of potential doublets, and elevated mitochondrial gene expression indicative of stressed or dying cells. After applying these filters, the retained cell population exhibited a more consistent distribution of detected genes and sequencing depth, confirming successful elimination of technical noise and unreliable observations. This refinement step substantially enhanced the biological reliability of subsequent analyses.</w:t>
      </w:r>
    </w:p>
    <w:p w:rsidR="0078242E" w:rsidRPr="00A87F2D" w:rsidRDefault="0078242E" w:rsidP="0078242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A87F2D">
        <w:rPr>
          <w:rFonts w:ascii="Times New Roman" w:eastAsia="Times New Roman" w:hAnsi="Times New Roman" w:cs="Times New Roman"/>
          <w:sz w:val="24"/>
          <w:szCs w:val="24"/>
          <w:lang w:eastAsia="en-IN"/>
        </w:rPr>
        <w:t>Normalization of gene expression values corrected for variations in sequencing depth across cells, enabling meaningful comparisons between individual transcriptional profiles. The identification of highly variable genes revealed a subset of genes displaying significant dispersion across the dataset, suggesting their major contribution to cellular heterogeneity. By focusing on these informative genes, the analysis prioritized biologically relevant variation rather than background noise. The variance distribution pattern clearly demonstrated that only a fraction of genes drove most of the observed transcriptional differences.</w:t>
      </w:r>
    </w:p>
    <w:p w:rsidR="0078242E" w:rsidRPr="00A87F2D" w:rsidRDefault="0078242E" w:rsidP="0078242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A87F2D">
        <w:rPr>
          <w:rFonts w:ascii="Times New Roman" w:eastAsia="Times New Roman" w:hAnsi="Times New Roman" w:cs="Times New Roman"/>
          <w:sz w:val="24"/>
          <w:szCs w:val="24"/>
          <w:lang w:eastAsia="en-IN"/>
        </w:rPr>
        <w:t>Dimensionality reduction using Principal Component Analysis (PCA) effectively captured the dominant sources of variation within the dataset. The first few principal components explained a substantial proportion of the total variance, indicating structured biological signal rather than random fluctuations. Visualization of cells in PCA space demonstrated preliminary separation of cell populations, confirming the presence of transcriptionally distinct groups. Selection of significant principal components ensured that downstream clustering was guided by meaningful variation.</w:t>
      </w:r>
    </w:p>
    <w:p w:rsidR="0078242E" w:rsidRPr="00A87F2D" w:rsidRDefault="0078242E" w:rsidP="0078242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A87F2D">
        <w:rPr>
          <w:rFonts w:ascii="Times New Roman" w:eastAsia="Times New Roman" w:hAnsi="Times New Roman" w:cs="Times New Roman"/>
          <w:sz w:val="24"/>
          <w:szCs w:val="24"/>
          <w:lang w:eastAsia="en-IN"/>
        </w:rPr>
        <w:t xml:space="preserve">Graph-based clustering analysis further resolved the dataset into distinct cellular populations. The resulting clusters were well separated in reduced dimensional space, </w:t>
      </w:r>
      <w:r w:rsidRPr="00A87F2D">
        <w:rPr>
          <w:rFonts w:ascii="Times New Roman" w:eastAsia="Times New Roman" w:hAnsi="Times New Roman" w:cs="Times New Roman"/>
          <w:sz w:val="24"/>
          <w:szCs w:val="24"/>
          <w:lang w:eastAsia="en-IN"/>
        </w:rPr>
        <w:lastRenderedPageBreak/>
        <w:t>reflecting clear transcriptional differences among groups of cells. The distribution pattern suggested the presence of both abundant and potentially rare cell populations, highlighting underlying biological diversity. The clustering structure was stable and coherent, demonstrating that the classical workflow successfully captured intrinsic heterogeneity within the dataset.</w:t>
      </w:r>
    </w:p>
    <w:p w:rsidR="0078242E" w:rsidRPr="00A87F2D" w:rsidRDefault="0078242E" w:rsidP="0078242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A87F2D">
        <w:rPr>
          <w:rFonts w:ascii="Times New Roman" w:eastAsia="Times New Roman" w:hAnsi="Times New Roman" w:cs="Times New Roman"/>
          <w:sz w:val="24"/>
          <w:szCs w:val="24"/>
          <w:lang w:eastAsia="en-IN"/>
        </w:rPr>
        <w:t xml:space="preserve">Two-dimensional visualization using UMAP (or t-SNE) provided an intuitive representation of cellular relationships. The clusters formed clearly defined and non-overlapping groupings, with spatial proximity between certain clusters suggesting potential biological similarity or transitional states. The preservation of </w:t>
      </w:r>
      <w:proofErr w:type="spellStart"/>
      <w:r w:rsidRPr="00A87F2D">
        <w:rPr>
          <w:rFonts w:ascii="Times New Roman" w:eastAsia="Times New Roman" w:hAnsi="Times New Roman" w:cs="Times New Roman"/>
          <w:sz w:val="24"/>
          <w:szCs w:val="24"/>
          <w:lang w:eastAsia="en-IN"/>
        </w:rPr>
        <w:t>neighbourhood</w:t>
      </w:r>
      <w:proofErr w:type="spellEnd"/>
      <w:r w:rsidRPr="00A87F2D">
        <w:rPr>
          <w:rFonts w:ascii="Times New Roman" w:eastAsia="Times New Roman" w:hAnsi="Times New Roman" w:cs="Times New Roman"/>
          <w:sz w:val="24"/>
          <w:szCs w:val="24"/>
          <w:lang w:eastAsia="en-IN"/>
        </w:rPr>
        <w:t xml:space="preserve"> structure in the visualization confirmed that clustering results were not arbitrary but biologically meaningful.</w:t>
      </w:r>
    </w:p>
    <w:p w:rsidR="0078242E" w:rsidRPr="00A87F2D" w:rsidRDefault="0078242E" w:rsidP="0078242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A87F2D">
        <w:rPr>
          <w:rFonts w:ascii="Times New Roman" w:eastAsia="Times New Roman" w:hAnsi="Times New Roman" w:cs="Times New Roman"/>
          <w:sz w:val="24"/>
          <w:szCs w:val="24"/>
          <w:lang w:eastAsia="en-IN"/>
        </w:rPr>
        <w:t>Further examination of gene expression patterns across clusters revealed distinct marker gene signatures associated with specific cell groups. Differential expression patterns supported the interpretation that each cluster represents a unique transcriptional identity or functional state. The presence of cluster-specific gene expression reinforced the validity of the analytical approach and provided insight into potential biological roles of the identified populations.</w:t>
      </w:r>
    </w:p>
    <w:p w:rsidR="0078242E" w:rsidRPr="00A87F2D" w:rsidRDefault="0078242E" w:rsidP="0078242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A87F2D">
        <w:rPr>
          <w:rFonts w:ascii="Times New Roman" w:eastAsia="Times New Roman" w:hAnsi="Times New Roman" w:cs="Times New Roman"/>
          <w:sz w:val="24"/>
          <w:szCs w:val="24"/>
          <w:lang w:eastAsia="en-IN"/>
        </w:rPr>
        <w:t>Overall, the classical single-cell RNA sequencing pipeline successfully achieved noise reduction, dimensionality simplification, and biologically meaningful clustering. The results demonstrate clear cellular heterogeneity within the dataset and validate the effectiveness of the standard workflow for uncovering transcriptionally distinct cell populations.</w:t>
      </w:r>
    </w:p>
    <w:bookmarkEnd w:id="0"/>
    <w:p w:rsidR="0078242E" w:rsidRPr="0078242E" w:rsidRDefault="0078242E" w:rsidP="0078242E">
      <w:pPr>
        <w:spacing w:line="360" w:lineRule="auto"/>
      </w:pPr>
    </w:p>
    <w:sectPr w:rsidR="0078242E" w:rsidRPr="007824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C2297"/>
    <w:rsid w:val="00326F90"/>
    <w:rsid w:val="0078242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372177"/>
  <w14:defaultImageDpi w14:val="300"/>
  <w15:docId w15:val="{CC756AF3-DF8B-4F81-820B-9F909C398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1D233E-AEC1-479A-94B4-6EA9133BD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578</Words>
  <Characters>3297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Shree</cp:lastModifiedBy>
  <cp:revision>2</cp:revision>
  <dcterms:created xsi:type="dcterms:W3CDTF">2013-12-23T23:15:00Z</dcterms:created>
  <dcterms:modified xsi:type="dcterms:W3CDTF">2026-02-23T11:37:00Z</dcterms:modified>
  <cp:category/>
</cp:coreProperties>
</file>