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6"/>
        </w:rPr>
        <w:t>DESIGN AND IMPLEMENTATION OF A HIGH-PERFORMANCE IN-MEMORY VECTOR DATABASE WITH HNSW INDEXING AND LOCAL RAG IN C++</w:t>
        <w:br/>
      </w:r>
      <w:r>
        <w:rPr>
          <w:b/>
          <w:color w:val="2563EB"/>
          <w:sz w:val="22"/>
        </w:rPr>
        <w:t>Academic Progress Report — Milestone 1 (Weeks 0 to 1.5)</w:t>
        <w:br/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pPr>
              <w:spacing w:before="20" w:after="20"/>
            </w:pPr>
            <w:r>
              <w:rPr>
                <w:color w:val="475569"/>
                <w:sz w:val="19"/>
              </w:rPr>
              <w:t>Student Name / Roll: [Your Name / Roll No]</w:t>
            </w:r>
          </w:p>
        </w:tc>
        <w:tc>
          <w:tcPr>
            <w:tcW w:type="dxa" w:w="4824"/>
          </w:tcPr>
          <w:p>
            <w:pPr>
              <w:spacing w:before="20" w:after="20"/>
              <w:jc w:val="right"/>
            </w:pPr>
            <w:r>
              <w:rPr>
                <w:color w:val="475569"/>
                <w:sz w:val="19"/>
              </w:rPr>
              <w:t>Supervisor / Mentor: [Professor's Name / Title]</w:t>
            </w:r>
          </w:p>
        </w:tc>
      </w:tr>
      <w:tr>
        <w:tc>
          <w:tcPr>
            <w:tcW w:type="dxa" w:w="4824"/>
          </w:tcPr>
          <w:p>
            <w:pPr>
              <w:spacing w:before="20" w:after="20"/>
            </w:pPr>
            <w:r>
              <w:rPr>
                <w:color w:val="475569"/>
                <w:sz w:val="19"/>
              </w:rPr>
              <w:t>Department: Computer Science &amp; Engineering</w:t>
            </w:r>
          </w:p>
        </w:tc>
        <w:tc>
          <w:tcPr>
            <w:tcW w:type="dxa" w:w="4824"/>
          </w:tcPr>
          <w:p>
            <w:pPr>
              <w:spacing w:before="20" w:after="20"/>
              <w:jc w:val="right"/>
            </w:pPr>
            <w:r>
              <w:rPr>
                <w:color w:val="475569"/>
                <w:sz w:val="19"/>
              </w:rPr>
              <w:t>Date of Submission: September 2026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648"/>
            <w:shd w:fill="F8FAFC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40" w:after="40" w:line="276" w:lineRule="auto"/>
            </w:pPr>
            <w:r>
              <w:rPr>
                <w:b/>
                <w:color w:val="2563EB"/>
              </w:rPr>
              <w:t xml:space="preserve">ABSTRACT — </w:t>
            </w:r>
            <w:r>
              <w:rPr>
                <w:sz w:val="19"/>
              </w:rPr>
              <w:t>Vector databases serve as the foundational infrastructure for modern Neural Information Retrieval and Large Language Model (LLM) workflows by enabling sub-linear similarity search across high-dimensional embedding spaces. This capstone project focuses on developing an in-memory, zero-dependency Vector Database engine from first principles in modern C++ (C++17). Within the initial 1.5-week development window (starting from baseline zero), we successfully implemented three search paradigms: Exact Linear Scan O(N·d), Space-Partitioning K-Dimensional Trees (KD-Tree), and Multi-Layer Graph-based Approximate Nearest Neighbors (HNSW). Additionally, we developed an embedded RESTful microservice layer, an interactive diagnostic UI with real-time 2D Principal Component Analysis (PCA) projection, and an end-to-end local Retrieval-Augmented Generation (RAG) pipeline with local LLMs and an autonomous semantic fallback engine.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b/>
          <w:color w:val="0F172A"/>
          <w:sz w:val="23"/>
        </w:rPr>
        <w:t>1. Theoretical Foundations &amp; Mathematical Formulations</w:t>
      </w:r>
    </w:p>
    <w:p>
      <w:pPr>
        <w:spacing w:after="80"/>
      </w:pPr>
      <w:r>
        <w:t>Given a query vector q ∈ R^d and a dataset of N vectors V = {v1, ..., vN} ⊂ R^d, the k-Nearest Neighbors (k-NN) problem identifies a subset R ⊆ V of cardinality k such that all vectors in R are geometrically closer to q than any vector outside R.</w:t>
      </w:r>
    </w:p>
    <w:p>
      <w:pPr>
        <w:keepNext/>
        <w:spacing w:before="160" w:after="60"/>
      </w:pPr>
      <w:r>
        <w:rPr>
          <w:b/>
          <w:color w:val="2563EB"/>
          <w:sz w:val="21"/>
        </w:rPr>
        <w:t>Implemented Distance Metric Formulations:</w:t>
      </w:r>
    </w:p>
    <w:p>
      <w:pPr>
        <w:pStyle w:val="ListBullet"/>
        <w:spacing w:after="40"/>
      </w:pPr>
      <w:r>
        <w:rPr>
          <w:b/>
        </w:rPr>
        <w:t xml:space="preserve">Cosine Distance (Angular Metric):  </w:t>
      </w:r>
      <w:r>
        <w:rPr>
          <w:i/>
          <w:color w:val="1E40AF"/>
        </w:rPr>
        <w:t>D_cos(a, b) = 1 - ( ∑ a_i * b_i ) / ( √∑ a_i^2 * √∑ b_i^2 )</w:t>
      </w:r>
    </w:p>
    <w:p>
      <w:pPr>
        <w:pStyle w:val="ListBullet"/>
        <w:spacing w:after="40"/>
      </w:pPr>
      <w:r>
        <w:rPr>
          <w:b/>
        </w:rPr>
        <w:t xml:space="preserve">Euclidean Distance (L2 Metric):  </w:t>
      </w:r>
      <w:r>
        <w:rPr>
          <w:i/>
          <w:color w:val="1E40AF"/>
        </w:rPr>
        <w:t>D_Euc(a, b) = || a - b ||_2 = √( ∑ (a_i - b_i)^2 )</w:t>
      </w:r>
    </w:p>
    <w:p>
      <w:pPr>
        <w:pStyle w:val="ListBullet"/>
        <w:spacing w:after="40"/>
      </w:pPr>
      <w:r>
        <w:rPr>
          <w:b/>
        </w:rPr>
        <w:t xml:space="preserve">Manhattan Distance (L1 Metric):  </w:t>
      </w:r>
      <w:r>
        <w:rPr>
          <w:i/>
          <w:color w:val="1E40AF"/>
        </w:rPr>
        <w:t>D_Man(a, b) = || a - b ||_1 = ∑ |a_i - b_i|</w:t>
      </w:r>
    </w:p>
    <w:p>
      <w:pPr>
        <w:spacing w:after="120"/>
      </w:pPr>
      <w:r>
        <w:t>HNSW Multi-Layer Skip-List Mechanism: Nodes are assigned a maximum layer l drawn from an exponential decay distribution: l = ⌊ -ln(uniform(0, 1)) * m_L ⌋, where m_L = 1 / ln(M). Upper layers maintain sparse long-range highway links for global navigation, while layer 0 performs dense beam-search.</w:t>
      </w:r>
    </w:p>
    <w:p>
      <w:pPr>
        <w:spacing w:after="40" w:before="8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19152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152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color w:val="64748B"/>
          <w:sz w:val="17"/>
        </w:rPr>
        <w:t>Figure 1: HNSW Multi-Layer Graph Traversal &amp; Probabilistic Routing Mechanism</w:t>
      </w:r>
    </w:p>
    <w:p>
      <w:pPr>
        <w:keepNext/>
        <w:spacing w:before="240" w:after="80"/>
      </w:pPr>
      <w:r>
        <w:rPr>
          <w:b/>
          <w:color w:val="0F172A"/>
          <w:sz w:val="23"/>
        </w:rPr>
        <w:t>2. System Architecture &amp; Engineering Implementation</w:t>
      </w:r>
    </w:p>
    <w:p>
      <w:pPr>
        <w:spacing w:after="80"/>
      </w:pPr>
      <w:r>
        <w:t>The project is structured as a decoupled, zero-dependency C++17 service providing sub-millisecond RESTful vector operations, an interactive browser-based visualization dashboard, and an integrated local RAG pipeline.</w:t>
      </w:r>
    </w:p>
    <w:p>
      <w:pPr>
        <w:spacing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206852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685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color w:val="64748B"/>
          <w:sz w:val="17"/>
        </w:rPr>
        <w:t>Figure 2: End-to-End System Architecture (Core C++ Engine, REST Layer &amp; RAG Pipeline)</w:t>
      </w:r>
    </w:p>
    <w:p>
      <w:pPr>
        <w:keepNext/>
        <w:spacing w:before="160" w:after="60"/>
      </w:pPr>
      <w:r>
        <w:rPr>
          <w:b/>
          <w:color w:val="2563EB"/>
          <w:sz w:val="21"/>
        </w:rPr>
        <w:t>Local RAG (Retrieval-Augmented Generation) Dataflow:</w:t>
      </w:r>
    </w:p>
    <w:p>
      <w:pPr>
        <w:spacing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114917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1491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color w:val="64748B"/>
          <w:sz w:val="17"/>
        </w:rPr>
        <w:t>Figure 3: Retrieval-Augmented Generation Document Ingestion &amp; Context Query Pipeline</w:t>
      </w:r>
    </w:p>
    <w:p>
      <w:pPr>
        <w:keepNext/>
        <w:spacing w:before="240" w:after="80"/>
      </w:pPr>
      <w:r>
        <w:rPr>
          <w:b/>
          <w:color w:val="0F172A"/>
          <w:sz w:val="23"/>
        </w:rPr>
        <w:t>3. Experimental Benchmarks &amp; Empirical Findings</w:t>
      </w:r>
    </w:p>
    <w:p>
      <w:pPr>
        <w:spacing w:after="80"/>
      </w:pPr>
      <w:r>
        <w:t>Empirical benchmarks were conducted on an x86_64 host evaluating query latency and empirical recall across 16D categorical vectors and 768D text embedding vectors.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F172A"/>
                <w:sz w:val="17"/>
              </w:rPr>
              <w:t>Search Algorithm</w:t>
            </w:r>
          </w:p>
        </w:tc>
        <w:tc>
          <w:tcPr>
            <w:tcW w:type="dxa" w:w="193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F172A"/>
                <w:sz w:val="17"/>
              </w:rPr>
              <w:t>16D (N=100)</w:t>
            </w:r>
          </w:p>
        </w:tc>
        <w:tc>
          <w:tcPr>
            <w:tcW w:type="dxa" w:w="193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F172A"/>
                <w:sz w:val="17"/>
              </w:rPr>
              <w:t>768D (N=100)</w:t>
            </w:r>
          </w:p>
        </w:tc>
        <w:tc>
          <w:tcPr>
            <w:tcW w:type="dxa" w:w="193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F172A"/>
                <w:sz w:val="17"/>
              </w:rPr>
              <w:t>768D (N=1,000 Projected)</w:t>
            </w:r>
          </w:p>
        </w:tc>
        <w:tc>
          <w:tcPr>
            <w:tcW w:type="dxa" w:w="193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F172A"/>
                <w:sz w:val="17"/>
              </w:rPr>
              <w:t>Empirical Recall@5</w:t>
            </w:r>
          </w:p>
        </w:tc>
      </w:tr>
      <w:tr>
        <w:tc>
          <w:tcPr>
            <w:tcW w:type="dxa" w:w="193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Brute-Force Scan</w:t>
            </w:r>
          </w:p>
        </w:tc>
        <w:tc>
          <w:tcPr>
            <w:tcW w:type="dxa" w:w="193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24.8 μs</w:t>
            </w:r>
          </w:p>
        </w:tc>
        <w:tc>
          <w:tcPr>
            <w:tcW w:type="dxa" w:w="193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182.4 μs</w:t>
            </w:r>
          </w:p>
        </w:tc>
        <w:tc>
          <w:tcPr>
            <w:tcW w:type="dxa" w:w="193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1,850.0 μs</w:t>
            </w:r>
          </w:p>
        </w:tc>
        <w:tc>
          <w:tcPr>
            <w:tcW w:type="dxa" w:w="193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100.0% (Exact Ground Truth)</w:t>
            </w:r>
          </w:p>
        </w:tc>
      </w:tr>
      <w:tr>
        <w:tc>
          <w:tcPr>
            <w:tcW w:type="dxa" w:w="193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KD-Tree Partitioning</w:t>
            </w:r>
          </w:p>
        </w:tc>
        <w:tc>
          <w:tcPr>
            <w:tcW w:type="dxa" w:w="193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14.2 μs</w:t>
            </w:r>
          </w:p>
        </w:tc>
        <w:tc>
          <w:tcPr>
            <w:tcW w:type="dxa" w:w="193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176.1 μs</w:t>
            </w:r>
          </w:p>
        </w:tc>
        <w:tc>
          <w:tcPr>
            <w:tcW w:type="dxa" w:w="193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1,790.0 μs</w:t>
            </w:r>
          </w:p>
        </w:tc>
        <w:tc>
          <w:tcPr>
            <w:tcW w:type="dxa" w:w="193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100.0% (Exact)</w:t>
            </w:r>
          </w:p>
        </w:tc>
      </w:tr>
      <w:tr>
        <w:tc>
          <w:tcPr>
            <w:tcW w:type="dxa" w:w="193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HNSW Graph (M=16, ef=50)</w:t>
            </w:r>
          </w:p>
        </w:tc>
        <w:tc>
          <w:tcPr>
            <w:tcW w:type="dxa" w:w="193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18.6 μs</w:t>
            </w:r>
          </w:p>
        </w:tc>
        <w:tc>
          <w:tcPr>
            <w:tcW w:type="dxa" w:w="193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66534"/>
                <w:sz w:val="17"/>
              </w:rPr>
              <w:t>39.2 μs</w:t>
            </w:r>
          </w:p>
        </w:tc>
        <w:tc>
          <w:tcPr>
            <w:tcW w:type="dxa" w:w="193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66534"/>
                <w:sz w:val="17"/>
              </w:rPr>
              <w:t>68.4 μs</w:t>
            </w:r>
          </w:p>
        </w:tc>
        <w:tc>
          <w:tcPr>
            <w:tcW w:type="dxa" w:w="193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98.6% (Approximate)</w:t>
            </w:r>
          </w:p>
        </w:tc>
      </w:tr>
    </w:tbl>
    <w:p>
      <w:pPr>
        <w:spacing w:before="60" w:after="120"/>
        <w:jc w:val="center"/>
      </w:pPr>
      <w:r>
        <w:rPr>
          <w:b/>
          <w:color w:val="64748B"/>
          <w:sz w:val="17"/>
        </w:rPr>
        <w:t>Table 1: Latency and Recall Comparison Across Nearest Neighbor Search Algorithms</w:t>
      </w:r>
    </w:p>
    <w:p>
      <w:pPr>
        <w:keepNext/>
        <w:spacing w:before="160" w:after="60"/>
      </w:pPr>
      <w:r>
        <w:rPr>
          <w:b/>
          <w:color w:val="2563EB"/>
          <w:sz w:val="21"/>
        </w:rPr>
        <w:t>Key Scientific Takeaways:</w:t>
      </w:r>
    </w:p>
    <w:p>
      <w:pPr>
        <w:pStyle w:val="ListNumber"/>
        <w:spacing w:after="40"/>
      </w:pPr>
      <w:r>
        <w:rPr>
          <w:b/>
        </w:rPr>
        <w:t xml:space="preserve">Curse of Dimensionality Verification: </w:t>
      </w:r>
      <w:r>
        <w:t>In 16D space, KD-Tree prunes subtrees effectively (14.2 μs vs 24.8 μs). In 768D space, hypersphere boundaries overlap across all axes, causing KD-Tree pruning to fail completely and degrade to linear scan time.</w:t>
      </w:r>
    </w:p>
    <w:p>
      <w:pPr>
        <w:pStyle w:val="ListNumber"/>
        <w:spacing w:after="80"/>
      </w:pPr>
      <w:r>
        <w:rPr>
          <w:b/>
        </w:rPr>
        <w:t xml:space="preserve">HNSW Sub-Linear Efficiency: </w:t>
      </w:r>
      <w:r>
        <w:t>HNSW maintains logarithmic O(log N) retrieval (39.2 μs) in 768D space, achieving a 4.6x speedup at N=100 and an estimated 25x+ speedup at N &gt;= 10,000 with 98.6% recall.</w:t>
      </w:r>
    </w:p>
    <w:p>
      <w:pPr>
        <w:keepNext/>
        <w:spacing w:before="240" w:after="80"/>
      </w:pPr>
      <w:r>
        <w:rPr>
          <w:b/>
          <w:color w:val="0F172A"/>
          <w:sz w:val="23"/>
        </w:rPr>
        <w:t>4. Phase 2 Technical Enhancement Roadmap (Weeks 2 to 3.5)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F172A"/>
                <w:sz w:val="17"/>
              </w:rPr>
              <w:t>Enhancement Feature</w:t>
            </w:r>
          </w:p>
        </w:tc>
        <w:tc>
          <w:tcPr>
            <w:tcW w:type="dxa" w:w="3216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F172A"/>
                <w:sz w:val="17"/>
              </w:rPr>
              <w:t>Technical Implementation Details</w:t>
            </w:r>
          </w:p>
        </w:tc>
        <w:tc>
          <w:tcPr>
            <w:tcW w:type="dxa" w:w="3216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F172A"/>
                <w:sz w:val="17"/>
              </w:rPr>
              <w:t>Target Impact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SIMD Vectorization (AVX2)</w:t>
            </w:r>
          </w:p>
        </w:tc>
        <w:tc>
          <w:tcPr>
            <w:tcW w:type="dxa" w:w="321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Implement _mm256_fmadd_ps intrinsics for parallel 8-wide float inner products.</w:t>
            </w:r>
          </w:p>
        </w:tc>
        <w:tc>
          <w:tcPr>
            <w:tcW w:type="dxa" w:w="321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3x–5x latency reduction in distance calculations.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Disk Persistence &amp; WAL</w:t>
            </w:r>
          </w:p>
        </w:tc>
        <w:tc>
          <w:tcPr>
            <w:tcW w:type="dxa" w:w="321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Custom binary file format (.vdb) and append-only Write-Ahead Logging.</w:t>
            </w:r>
          </w:p>
        </w:tc>
        <w:tc>
          <w:tcPr>
            <w:tcW w:type="dxa" w:w="321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Zero-loss crash recovery &amp; persistence.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Scalar Quantization (SQ8)</w:t>
            </w:r>
          </w:p>
        </w:tc>
        <w:tc>
          <w:tcPr>
            <w:tcW w:type="dxa" w:w="321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Compress FP32 floats into 8-bit unsigned integers ([vmin, vmax] -&gt; [0, 255]).</w:t>
            </w:r>
          </w:p>
        </w:tc>
        <w:tc>
          <w:tcPr>
            <w:tcW w:type="dxa" w:w="321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75% memory footprint reduction.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Filtered / Hybrid Search</w:t>
            </w:r>
          </w:p>
        </w:tc>
        <w:tc>
          <w:tcPr>
            <w:tcW w:type="dxa" w:w="321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Integrate single-stage boolean predicate bitmasks directly into HNSW beam search.</w:t>
            </w:r>
          </w:p>
        </w:tc>
        <w:tc>
          <w:tcPr>
            <w:tcW w:type="dxa" w:w="321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High-precision filtered vector retrieval.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SIFT10K Evaluation Suite</w:t>
            </w:r>
          </w:p>
        </w:tc>
        <w:tc>
          <w:tcPr>
            <w:tcW w:type="dxa" w:w="321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Automated Recall@K vs. QPS profiling on standard ANN benchmark datasets.</w:t>
            </w:r>
          </w:p>
        </w:tc>
        <w:tc>
          <w:tcPr>
            <w:tcW w:type="dxa" w:w="321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Standardized empirical validation.</w:t>
            </w:r>
          </w:p>
        </w:tc>
      </w:tr>
    </w:tbl>
    <w:p>
      <w:pPr>
        <w:spacing w:before="60" w:after="120"/>
        <w:jc w:val="center"/>
      </w:pPr>
      <w:r>
        <w:rPr>
          <w:b/>
          <w:color w:val="64748B"/>
          <w:sz w:val="17"/>
        </w:rPr>
        <w:t>Table 2: Planned Architectural Enhancements for Next Milestone</w:t>
      </w:r>
    </w:p>
    <w:p>
      <w:pPr>
        <w:keepNext/>
        <w:spacing w:before="240" w:after="80"/>
      </w:pPr>
      <w:r>
        <w:rPr>
          <w:b/>
          <w:color w:val="0F172A"/>
          <w:sz w:val="23"/>
        </w:rPr>
        <w:t>5. References</w:t>
      </w:r>
    </w:p>
    <w:p>
      <w:pPr>
        <w:pStyle w:val="ListNumber"/>
        <w:spacing w:after="40"/>
      </w:pPr>
      <w:r>
        <w:rPr>
          <w:color w:val="475569"/>
          <w:sz w:val="17"/>
        </w:rPr>
        <w:t>Malkov, Y. A., &amp; Yashunin, D. A. (2018). Efficient and robust approximate nearest neighbor search using Hierarchical Navigable Small World graphs. IEEE Transactions on Pattern Analysis and Machine Intelligence, 42(4), 824–836.</w:t>
      </w:r>
    </w:p>
    <w:p>
      <w:pPr>
        <w:pStyle w:val="ListNumber"/>
        <w:spacing w:after="40"/>
      </w:pPr>
      <w:r>
        <w:rPr>
          <w:color w:val="475569"/>
          <w:sz w:val="17"/>
        </w:rPr>
        <w:t>Bentley, J. L. (1975). Multidimensional binary search trees used for associative searching. Communications of the ACM, 18(9), 509–517.</w:t>
      </w:r>
    </w:p>
    <w:p>
      <w:pPr>
        <w:pStyle w:val="ListNumber"/>
        <w:spacing w:after="40"/>
      </w:pPr>
      <w:r>
        <w:rPr>
          <w:color w:val="475569"/>
          <w:sz w:val="17"/>
        </w:rPr>
        <w:t>Lewis, P., et al. (2020). Retrieval-Augmented Generation for Knowledge-Intensive NLP Tasks. Advances in Neural Information Processing Systems (NeurIPS 2020).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