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31,028.00/155,138.00 (20.00%) (19.80%, 20.20%)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12,888.00/120,381.00 (10.71%) (10.53%, 10.88%)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647,441.00/2,799,460.00 (23.13%) (23.08%, 23.18%)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216,950.00/2,337,936.00 (9.28%) (9.242%, 9.317%)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140,217.00/402,795.00 (34.81%) (34.66%, 34.96%)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58,343.00/376,944.00 (15.48%) (15.36%, 15.59%)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18,484.00/155,138.00 (11.91%) (11.75%, 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11,951.00/120,381.00 (9.93%) (9.760%, 10.10%)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327,568.00/2,799,460.00 (11.70%) (11.66%, 11.74%)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208,063.00/2,337,936.00 (8.90%) (8.863%, 8.936%)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47,412.00/402,795.00 (11.77%) (11.67%, 11.87%)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40,495.00/376,944.00 (10.74%) (10.64%, 10.84%)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55,305.00/155,138.00 (35.65%) (35.41%, 35.89%)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40,754.00/120,381.00 (33.85%) (33.59%, 34.12%)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1,004,044.00/2,799,460.00 (35.87%) (35.81%, 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769,655.00/2,337,936.00 (32.92%) (32.86%, 32.98%)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134,904.00/402,795.00 (33.49%) (33.35%, 33.64%)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135,935.00/376,944.00 (36.06%) (35.91%, 36.22%)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50,321.00/155,138.00 (32.44%) (32.20%, 32.67%)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54,788.00/120,381.00 (45.51%) (45.23%, 45.79%)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820,407.00/2,799,460.00 (29.31%) (29.25%, 29.36%)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1,143,268.00/2,337,936.00 (48.90%) (48.84%, 48.96%)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80,262.00/402,795.00 (19.93%) (19.80%, 20.05%)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142,171.00/376,944.00 (37.72%) (37.56%, 37.87%)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n/N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2025-12-10T23:37:35Z</dcterms:created>
  <dcterms:modified xsi:type="dcterms:W3CDTF">2025-12-10T23:37:35Z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