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(20.00%) (19.80%, 20.20%)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(10.71%) (10.53%, 10.88%)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(23.13%) (23.08%, 23.18%)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(9.28%) (9.242%, 9.317%)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(34.81%) (34.66%, 34.96%)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(15.48%) (15.36%, 15.59%)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(11.91%) (11.75%, 12.08%)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(9.93%) (9.760%, 10.10%)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(11.70%) (11.66%, 11.74%)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(8.90%) (8.863%, 8.936%)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(11.77%) (11.67%, 11.87%)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(10.74%) (10.64%, 10.84%)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(35.65%) (35.41%, 35.89%)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(33.85%) (33.59%, 34.12%)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(35.87%) (35.81%, 35.92%)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(32.92%) (32.86%, 32.98%)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(33.49%) (33.35%, 33.64%)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(36.06%) (35.91%, 36.22%)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(32.44%) (32.20%, 32.67%)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(45.51%) (45.23%, 45.79%)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(29.31%) (29.25%, 29.36%)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(48.90%) (48.84%, 48.96%)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(19.93%) (19.80%, 20.05%)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(37.72%) (37.56%, 37.87%)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2025-12-17T03:29:30Z</dcterms:created>
  <dcterms:modified xsi:type="dcterms:W3CDTF">2025-12-17T03:29:30Z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