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C0B67" w14:textId="77777777" w:rsidR="00E05E44" w:rsidRPr="00D31361" w:rsidRDefault="00E05E44" w:rsidP="00D31361">
      <w:pPr>
        <w:pStyle w:val="NoSpacing"/>
        <w:spacing w:line="360" w:lineRule="auto"/>
        <w:jc w:val="both"/>
        <w:rPr>
          <w:rFonts w:ascii="Calibri" w:hAnsi="Calibri" w:cs="Calibri"/>
          <w:szCs w:val="24"/>
        </w:rPr>
      </w:pPr>
    </w:p>
    <w:p w14:paraId="504E3779" w14:textId="77777777" w:rsidR="00E05E44" w:rsidRPr="00D31361" w:rsidRDefault="00000000" w:rsidP="00D31361">
      <w:pPr>
        <w:spacing w:after="160" w:line="360" w:lineRule="auto"/>
        <w:ind w:left="0" w:right="0" w:firstLine="0"/>
        <w:jc w:val="both"/>
        <w:rPr>
          <w:rFonts w:ascii="Calibri" w:hAnsi="Calibri" w:cs="Calibri"/>
          <w:b/>
          <w:bCs/>
          <w:szCs w:val="24"/>
        </w:rPr>
      </w:pPr>
      <w:r w:rsidRPr="00D31361">
        <w:rPr>
          <w:rFonts w:ascii="Calibri" w:hAnsi="Calibri" w:cs="Calibri"/>
          <w:noProof/>
          <w:szCs w:val="24"/>
        </w:rPr>
        <w:drawing>
          <wp:anchor distT="0" distB="0" distL="114300" distR="114300" simplePos="0" relativeHeight="251658240" behindDoc="0" locked="0" layoutInCell="1" allowOverlap="1" wp14:anchorId="55A67292" wp14:editId="6D862A45">
            <wp:simplePos x="0" y="0"/>
            <wp:positionH relativeFrom="column">
              <wp:posOffset>501015</wp:posOffset>
            </wp:positionH>
            <wp:positionV relativeFrom="paragraph">
              <wp:posOffset>301625</wp:posOffset>
            </wp:positionV>
            <wp:extent cx="4627880" cy="1778635"/>
            <wp:effectExtent l="0" t="0" r="0" b="0"/>
            <wp:wrapTopAndBottom/>
            <wp:docPr id="681497896" name="Imagen 1" descr="Corporate Id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97896" name="Picture 1" descr="Corporate Identity"/>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627880" cy="1778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B2FA9E" w14:textId="77777777" w:rsidR="00E05E44" w:rsidRPr="00D31361" w:rsidRDefault="00E05E44" w:rsidP="00D31361">
      <w:pPr>
        <w:spacing w:after="160" w:line="360" w:lineRule="auto"/>
        <w:ind w:left="0" w:right="0" w:firstLine="0"/>
        <w:jc w:val="both"/>
        <w:rPr>
          <w:rFonts w:ascii="Calibri" w:hAnsi="Calibri" w:cs="Calibri"/>
          <w:b/>
          <w:bCs/>
          <w:szCs w:val="24"/>
        </w:rPr>
      </w:pPr>
    </w:p>
    <w:p w14:paraId="64455B2F" w14:textId="77777777" w:rsidR="00E05E44" w:rsidRPr="00D31361" w:rsidRDefault="00E05E44" w:rsidP="00D31361">
      <w:pPr>
        <w:spacing w:after="160" w:line="360" w:lineRule="auto"/>
        <w:ind w:left="0" w:right="0" w:firstLine="0"/>
        <w:jc w:val="both"/>
        <w:rPr>
          <w:rFonts w:ascii="Calibri" w:hAnsi="Calibri" w:cs="Calibri"/>
          <w:b/>
          <w:bCs/>
          <w:szCs w:val="24"/>
        </w:rPr>
      </w:pPr>
    </w:p>
    <w:p w14:paraId="3846C710" w14:textId="77777777" w:rsidR="00E05E44" w:rsidRPr="00D31361" w:rsidRDefault="00E05E44" w:rsidP="00D31361">
      <w:pPr>
        <w:spacing w:after="160" w:line="360" w:lineRule="auto"/>
        <w:ind w:left="0" w:right="0" w:firstLine="0"/>
        <w:jc w:val="both"/>
        <w:rPr>
          <w:rFonts w:ascii="Calibri" w:hAnsi="Calibri" w:cs="Calibri"/>
          <w:b/>
          <w:bCs/>
          <w:szCs w:val="24"/>
        </w:rPr>
      </w:pPr>
    </w:p>
    <w:p w14:paraId="0E4F9419" w14:textId="77777777" w:rsidR="00E05E44" w:rsidRPr="00D31361" w:rsidRDefault="00E05E44" w:rsidP="00D31361">
      <w:pPr>
        <w:spacing w:after="160" w:line="360" w:lineRule="auto"/>
        <w:ind w:left="0" w:right="0" w:firstLine="0"/>
        <w:jc w:val="both"/>
        <w:rPr>
          <w:rFonts w:ascii="Calibri" w:hAnsi="Calibri" w:cs="Calibri"/>
          <w:b/>
          <w:bCs/>
          <w:szCs w:val="24"/>
        </w:rPr>
      </w:pPr>
    </w:p>
    <w:p w14:paraId="1DF12A0C" w14:textId="2AB493B2" w:rsidR="00E05E44" w:rsidRPr="00D31361" w:rsidRDefault="00D31361" w:rsidP="00D31361">
      <w:pPr>
        <w:spacing w:after="160" w:line="360" w:lineRule="auto"/>
        <w:ind w:left="0" w:right="0" w:firstLine="0"/>
        <w:jc w:val="both"/>
        <w:rPr>
          <w:rFonts w:ascii="Calibri" w:hAnsi="Calibri" w:cs="Calibri"/>
          <w:b/>
          <w:bCs/>
          <w:szCs w:val="24"/>
        </w:rPr>
      </w:pPr>
      <w:r>
        <w:rPr>
          <w:rFonts w:ascii="Calibri" w:hAnsi="Calibri" w:cs="Calibri"/>
          <w:b/>
          <w:bCs/>
          <w:szCs w:val="24"/>
        </w:rPr>
        <w:t>Subject</w:t>
      </w:r>
      <w:r>
        <w:rPr>
          <w:rFonts w:ascii="Calibri" w:hAnsi="Calibri" w:cs="Calibri"/>
          <w:b/>
          <w:bCs/>
          <w:szCs w:val="24"/>
        </w:rPr>
        <w:tab/>
      </w:r>
      <w:r>
        <w:rPr>
          <w:rFonts w:ascii="Calibri" w:hAnsi="Calibri" w:cs="Calibri"/>
          <w:b/>
          <w:bCs/>
          <w:szCs w:val="24"/>
        </w:rPr>
        <w:tab/>
      </w:r>
      <w:r>
        <w:rPr>
          <w:rFonts w:ascii="Calibri" w:hAnsi="Calibri" w:cs="Calibri"/>
          <w:b/>
          <w:bCs/>
          <w:szCs w:val="24"/>
        </w:rPr>
        <w:tab/>
        <w:t>:</w:t>
      </w:r>
      <w:r w:rsidRPr="00D31361">
        <w:rPr>
          <w:rFonts w:ascii="Calibri" w:hAnsi="Calibri" w:cs="Calibri"/>
          <w:szCs w:val="24"/>
        </w:rPr>
        <w:t xml:space="preserve"> </w:t>
      </w:r>
      <w:r w:rsidRPr="00D31361">
        <w:rPr>
          <w:rFonts w:ascii="Calibri" w:hAnsi="Calibri" w:cs="Calibri"/>
          <w:szCs w:val="24"/>
        </w:rPr>
        <w:t>DASHBOARD AND DATA ANALYSIS</w:t>
      </w:r>
      <w:r>
        <w:rPr>
          <w:rFonts w:ascii="Calibri" w:hAnsi="Calibri" w:cs="Calibri"/>
          <w:szCs w:val="24"/>
        </w:rPr>
        <w:t xml:space="preserve"> (</w:t>
      </w:r>
      <w:r w:rsidRPr="00D31361">
        <w:rPr>
          <w:rFonts w:ascii="Calibri" w:hAnsi="Calibri" w:cs="Calibri"/>
          <w:szCs w:val="24"/>
        </w:rPr>
        <w:t>EXL1002 – 93951</w:t>
      </w:r>
      <w:r>
        <w:rPr>
          <w:rFonts w:ascii="Calibri" w:hAnsi="Calibri" w:cs="Calibri"/>
          <w:b/>
          <w:bCs/>
          <w:szCs w:val="24"/>
        </w:rPr>
        <w:t>)</w:t>
      </w:r>
    </w:p>
    <w:p w14:paraId="7D41E268" w14:textId="0014A312" w:rsidR="00477297" w:rsidRPr="00D31361" w:rsidRDefault="00000000" w:rsidP="00D31361">
      <w:pPr>
        <w:spacing w:after="160" w:line="360" w:lineRule="auto"/>
        <w:ind w:left="0" w:right="0" w:firstLine="0"/>
        <w:jc w:val="both"/>
        <w:rPr>
          <w:rFonts w:ascii="Calibri" w:hAnsi="Calibri" w:cs="Calibri"/>
          <w:b/>
          <w:bCs/>
          <w:szCs w:val="24"/>
        </w:rPr>
      </w:pPr>
      <w:r w:rsidRPr="00D31361">
        <w:rPr>
          <w:rFonts w:ascii="Calibri" w:hAnsi="Calibri" w:cs="Calibri"/>
          <w:b/>
          <w:bCs/>
          <w:szCs w:val="24"/>
        </w:rPr>
        <w:t>Topic</w:t>
      </w:r>
      <w:r w:rsidR="00D31361" w:rsidRPr="00D31361">
        <w:rPr>
          <w:rFonts w:ascii="Calibri" w:hAnsi="Calibri" w:cs="Calibri"/>
          <w:b/>
          <w:bCs/>
          <w:szCs w:val="24"/>
        </w:rPr>
        <w:tab/>
      </w:r>
      <w:r w:rsidR="00D31361" w:rsidRPr="00D31361">
        <w:rPr>
          <w:rFonts w:ascii="Calibri" w:hAnsi="Calibri" w:cs="Calibri"/>
          <w:b/>
          <w:bCs/>
          <w:szCs w:val="24"/>
        </w:rPr>
        <w:tab/>
      </w:r>
      <w:r w:rsidR="00D31361" w:rsidRPr="00D31361">
        <w:rPr>
          <w:rFonts w:ascii="Calibri" w:hAnsi="Calibri" w:cs="Calibri"/>
          <w:b/>
          <w:bCs/>
          <w:szCs w:val="24"/>
        </w:rPr>
        <w:tab/>
      </w:r>
      <w:r w:rsidR="00D31361" w:rsidRPr="00D31361">
        <w:rPr>
          <w:rFonts w:ascii="Calibri" w:hAnsi="Calibri" w:cs="Calibri"/>
          <w:b/>
          <w:bCs/>
          <w:szCs w:val="24"/>
        </w:rPr>
        <w:tab/>
      </w:r>
      <w:r w:rsidRPr="00D31361">
        <w:rPr>
          <w:rFonts w:ascii="Calibri" w:hAnsi="Calibri" w:cs="Calibri"/>
          <w:b/>
          <w:bCs/>
          <w:szCs w:val="24"/>
        </w:rPr>
        <w:t xml:space="preserve">: </w:t>
      </w:r>
      <w:r w:rsidR="00D517A5" w:rsidRPr="00D31361">
        <w:rPr>
          <w:rFonts w:ascii="Calibri" w:hAnsi="Calibri" w:cs="Calibri"/>
          <w:szCs w:val="24"/>
        </w:rPr>
        <w:t>Malaria in Colombia 2015 - 202</w:t>
      </w:r>
      <w:r w:rsidR="00BD5E86" w:rsidRPr="00D31361">
        <w:rPr>
          <w:rFonts w:ascii="Calibri" w:hAnsi="Calibri" w:cs="Calibri"/>
          <w:szCs w:val="24"/>
        </w:rPr>
        <w:t>3</w:t>
      </w:r>
    </w:p>
    <w:p w14:paraId="04BD9C50" w14:textId="7AD0DB0D" w:rsidR="004F4F95" w:rsidRPr="00D31361" w:rsidRDefault="00D31361" w:rsidP="00D31361">
      <w:pPr>
        <w:spacing w:after="160" w:line="360" w:lineRule="auto"/>
        <w:ind w:left="2880" w:right="0" w:hanging="2880"/>
        <w:jc w:val="both"/>
        <w:rPr>
          <w:rFonts w:ascii="Calibri" w:hAnsi="Calibri" w:cs="Calibri"/>
          <w:b/>
          <w:bCs/>
          <w:szCs w:val="24"/>
        </w:rPr>
      </w:pPr>
      <w:r w:rsidRPr="00D31361">
        <w:rPr>
          <w:rFonts w:ascii="Calibri" w:hAnsi="Calibri" w:cs="Calibri"/>
          <w:b/>
          <w:bCs/>
          <w:szCs w:val="24"/>
        </w:rPr>
        <w:t xml:space="preserve">Group </w:t>
      </w:r>
      <w:r w:rsidR="00AC0816" w:rsidRPr="00D31361">
        <w:rPr>
          <w:rFonts w:ascii="Calibri" w:hAnsi="Calibri" w:cs="Calibri"/>
          <w:b/>
          <w:bCs/>
          <w:szCs w:val="24"/>
        </w:rPr>
        <w:t xml:space="preserve">Member </w:t>
      </w:r>
      <w:r w:rsidR="00000000" w:rsidRPr="00D31361">
        <w:rPr>
          <w:rFonts w:ascii="Calibri" w:hAnsi="Calibri" w:cs="Calibri"/>
          <w:b/>
          <w:bCs/>
          <w:szCs w:val="24"/>
        </w:rPr>
        <w:t>Name</w:t>
      </w:r>
      <w:r w:rsidRPr="00D31361">
        <w:rPr>
          <w:rFonts w:ascii="Calibri" w:hAnsi="Calibri" w:cs="Calibri"/>
          <w:b/>
          <w:bCs/>
          <w:szCs w:val="24"/>
        </w:rPr>
        <w:tab/>
        <w:t>:</w:t>
      </w:r>
      <w:r w:rsidRPr="00D31361">
        <w:rPr>
          <w:rFonts w:ascii="Calibri" w:hAnsi="Calibri" w:cs="Calibri"/>
          <w:szCs w:val="24"/>
        </w:rPr>
        <w:t xml:space="preserve"> </w:t>
      </w:r>
      <w:proofErr w:type="spellStart"/>
      <w:r w:rsidRPr="00D31361">
        <w:rPr>
          <w:rFonts w:ascii="Calibri" w:hAnsi="Calibri" w:cs="Calibri"/>
          <w:szCs w:val="24"/>
        </w:rPr>
        <w:t>Gressy</w:t>
      </w:r>
      <w:proofErr w:type="spellEnd"/>
      <w:r w:rsidRPr="00D31361">
        <w:rPr>
          <w:rFonts w:ascii="Calibri" w:hAnsi="Calibri" w:cs="Calibri"/>
          <w:szCs w:val="24"/>
        </w:rPr>
        <w:t xml:space="preserve"> Cruz De La Rosa</w:t>
      </w:r>
      <w:r w:rsidRPr="00D31361">
        <w:rPr>
          <w:rFonts w:ascii="Calibri" w:hAnsi="Calibri" w:cs="Calibri"/>
          <w:szCs w:val="24"/>
        </w:rPr>
        <w:t xml:space="preserve">, </w:t>
      </w:r>
      <w:r w:rsidRPr="00D31361">
        <w:rPr>
          <w:rFonts w:ascii="Calibri" w:hAnsi="Calibri" w:cs="Calibri"/>
          <w:szCs w:val="24"/>
        </w:rPr>
        <w:t>Fatima Kong De Puga</w:t>
      </w:r>
      <w:r w:rsidRPr="00D31361">
        <w:rPr>
          <w:rFonts w:ascii="Calibri" w:hAnsi="Calibri" w:cs="Calibri"/>
          <w:szCs w:val="24"/>
        </w:rPr>
        <w:t xml:space="preserve">, </w:t>
      </w:r>
      <w:r w:rsidRPr="00D31361">
        <w:rPr>
          <w:rFonts w:ascii="Calibri" w:hAnsi="Calibri" w:cs="Calibri"/>
          <w:szCs w:val="24"/>
        </w:rPr>
        <w:t xml:space="preserve">Juan Diego Wilches </w:t>
      </w:r>
      <w:proofErr w:type="gramStart"/>
      <w:r w:rsidRPr="00D31361">
        <w:rPr>
          <w:rFonts w:ascii="Calibri" w:hAnsi="Calibri" w:cs="Calibri"/>
          <w:szCs w:val="24"/>
        </w:rPr>
        <w:t>Vega</w:t>
      </w:r>
      <w:r w:rsidRPr="00D31361">
        <w:rPr>
          <w:rFonts w:ascii="Calibri" w:hAnsi="Calibri" w:cs="Calibri"/>
          <w:szCs w:val="24"/>
        </w:rPr>
        <w:t xml:space="preserve">,   </w:t>
      </w:r>
      <w:proofErr w:type="gramEnd"/>
      <w:r w:rsidRPr="00D31361">
        <w:rPr>
          <w:rFonts w:ascii="Calibri" w:hAnsi="Calibri" w:cs="Calibri"/>
          <w:szCs w:val="24"/>
        </w:rPr>
        <w:t xml:space="preserve">  </w:t>
      </w:r>
      <w:r w:rsidRPr="00D31361">
        <w:rPr>
          <w:rFonts w:ascii="Calibri" w:hAnsi="Calibri" w:cs="Calibri"/>
          <w:szCs w:val="24"/>
        </w:rPr>
        <w:t>Ayotomiwa Salawu</w:t>
      </w:r>
      <w:r w:rsidRPr="00D31361">
        <w:rPr>
          <w:rFonts w:ascii="Calibri" w:hAnsi="Calibri" w:cs="Calibri"/>
          <w:szCs w:val="24"/>
          <w:lang w:val="es-ES"/>
        </w:rPr>
        <w:t>, Vikram Jeet Singh</w:t>
      </w:r>
      <w:r w:rsidR="00000000" w:rsidRPr="00D31361">
        <w:rPr>
          <w:rFonts w:ascii="Calibri" w:hAnsi="Calibri" w:cs="Calibri"/>
          <w:szCs w:val="24"/>
          <w:lang w:val="es-ES"/>
        </w:rPr>
        <w:tab/>
      </w:r>
      <w:r w:rsidR="00000000" w:rsidRPr="00D31361">
        <w:rPr>
          <w:rFonts w:ascii="Calibri" w:hAnsi="Calibri" w:cs="Calibri"/>
          <w:szCs w:val="24"/>
          <w:lang w:val="es-ES"/>
        </w:rPr>
        <w:tab/>
      </w:r>
    </w:p>
    <w:p w14:paraId="79224A2D" w14:textId="77777777" w:rsidR="00E05E44" w:rsidRPr="00D31361" w:rsidRDefault="00000000" w:rsidP="00D31361">
      <w:pPr>
        <w:spacing w:after="160" w:line="360" w:lineRule="auto"/>
        <w:ind w:left="0" w:right="0" w:firstLine="0"/>
        <w:jc w:val="both"/>
        <w:rPr>
          <w:rFonts w:ascii="Calibri" w:hAnsi="Calibri" w:cs="Calibri"/>
          <w:b/>
          <w:bCs/>
          <w:szCs w:val="24"/>
        </w:rPr>
      </w:pPr>
      <w:r w:rsidRPr="00D31361">
        <w:rPr>
          <w:rFonts w:ascii="Calibri" w:hAnsi="Calibri" w:cs="Calibri"/>
          <w:b/>
          <w:bCs/>
          <w:szCs w:val="24"/>
        </w:rPr>
        <w:t>Date</w:t>
      </w:r>
      <w:r w:rsidRPr="00D31361">
        <w:rPr>
          <w:rFonts w:ascii="Calibri" w:hAnsi="Calibri" w:cs="Calibri"/>
          <w:b/>
          <w:bCs/>
          <w:szCs w:val="24"/>
        </w:rPr>
        <w:tab/>
      </w:r>
      <w:r w:rsidRPr="00D31361">
        <w:rPr>
          <w:rFonts w:ascii="Calibri" w:hAnsi="Calibri" w:cs="Calibri"/>
          <w:b/>
          <w:bCs/>
          <w:szCs w:val="24"/>
        </w:rPr>
        <w:tab/>
      </w:r>
      <w:r w:rsidRPr="00D31361">
        <w:rPr>
          <w:rFonts w:ascii="Calibri" w:hAnsi="Calibri" w:cs="Calibri"/>
          <w:b/>
          <w:bCs/>
          <w:szCs w:val="24"/>
        </w:rPr>
        <w:tab/>
      </w:r>
      <w:r w:rsidRPr="00D31361">
        <w:rPr>
          <w:rFonts w:ascii="Calibri" w:hAnsi="Calibri" w:cs="Calibri"/>
          <w:b/>
          <w:bCs/>
          <w:szCs w:val="24"/>
        </w:rPr>
        <w:tab/>
        <w:t xml:space="preserve">: </w:t>
      </w:r>
      <w:r w:rsidR="007C4EF9" w:rsidRPr="00D31361">
        <w:rPr>
          <w:rFonts w:ascii="Calibri" w:hAnsi="Calibri" w:cs="Calibri"/>
          <w:szCs w:val="24"/>
        </w:rPr>
        <w:t>December 11</w:t>
      </w:r>
      <w:r w:rsidRPr="00D31361">
        <w:rPr>
          <w:rFonts w:ascii="Calibri" w:hAnsi="Calibri" w:cs="Calibri"/>
          <w:szCs w:val="24"/>
        </w:rPr>
        <w:t>, 2023</w:t>
      </w:r>
    </w:p>
    <w:p w14:paraId="3384AB7E" w14:textId="77777777" w:rsidR="00E47001" w:rsidRPr="00D31361" w:rsidRDefault="00000000" w:rsidP="001E38E2">
      <w:pPr>
        <w:spacing w:after="160" w:line="360" w:lineRule="auto"/>
        <w:ind w:left="0" w:right="0" w:firstLine="0"/>
        <w:jc w:val="both"/>
        <w:rPr>
          <w:rFonts w:ascii="Calibri" w:hAnsi="Calibri" w:cs="Calibri"/>
          <w:b/>
          <w:bCs/>
          <w:szCs w:val="24"/>
        </w:rPr>
      </w:pPr>
      <w:r w:rsidRPr="00D31361">
        <w:rPr>
          <w:rFonts w:ascii="Calibri" w:hAnsi="Calibri" w:cs="Calibri"/>
          <w:b/>
          <w:bCs/>
          <w:szCs w:val="24"/>
        </w:rPr>
        <w:br w:type="page"/>
      </w:r>
      <w:r w:rsidR="006B4070" w:rsidRPr="00D31361">
        <w:rPr>
          <w:rFonts w:ascii="Calibri" w:hAnsi="Calibri" w:cs="Calibri"/>
          <w:b/>
          <w:bCs/>
          <w:szCs w:val="24"/>
        </w:rPr>
        <w:lastRenderedPageBreak/>
        <w:t>EXECUTIVE SUMMARY</w:t>
      </w:r>
    </w:p>
    <w:p w14:paraId="03B3C018" w14:textId="77777777" w:rsidR="00E47001" w:rsidRPr="00D31361" w:rsidRDefault="00000000" w:rsidP="001E38E2">
      <w:pPr>
        <w:spacing w:after="255" w:line="360" w:lineRule="auto"/>
        <w:ind w:left="0" w:right="0" w:firstLine="720"/>
        <w:jc w:val="both"/>
        <w:rPr>
          <w:rFonts w:ascii="Calibri" w:hAnsi="Calibri" w:cs="Calibri"/>
          <w:szCs w:val="24"/>
        </w:rPr>
      </w:pPr>
      <w:r w:rsidRPr="00D31361">
        <w:rPr>
          <w:rFonts w:ascii="Calibri" w:hAnsi="Calibri" w:cs="Calibri"/>
          <w:szCs w:val="24"/>
        </w:rPr>
        <w:t xml:space="preserve">This report analyzes </w:t>
      </w:r>
      <w:r w:rsidR="007C4EF9" w:rsidRPr="00D31361">
        <w:rPr>
          <w:rFonts w:ascii="Calibri" w:hAnsi="Calibri" w:cs="Calibri"/>
          <w:szCs w:val="24"/>
        </w:rPr>
        <w:t>malaria cases in Colombia</w:t>
      </w:r>
      <w:r w:rsidR="002B00F5" w:rsidRPr="00D31361">
        <w:rPr>
          <w:rFonts w:ascii="Calibri" w:hAnsi="Calibri" w:cs="Calibri"/>
          <w:szCs w:val="24"/>
        </w:rPr>
        <w:t xml:space="preserve"> - a country in South America -</w:t>
      </w:r>
      <w:r w:rsidR="007C4EF9" w:rsidRPr="00D31361">
        <w:rPr>
          <w:rFonts w:ascii="Calibri" w:hAnsi="Calibri" w:cs="Calibri"/>
          <w:szCs w:val="24"/>
        </w:rPr>
        <w:t xml:space="preserve"> focusing on the years between 2015 and 2023.</w:t>
      </w:r>
      <w:r w:rsidR="002B00F5" w:rsidRPr="00D31361">
        <w:rPr>
          <w:rFonts w:ascii="Calibri" w:hAnsi="Calibri" w:cs="Calibri"/>
          <w:szCs w:val="24"/>
        </w:rPr>
        <w:t xml:space="preserve"> Colombia is one of the countries located in the South America Amazon, where most cases of Malaria on the continent have emanated </w:t>
      </w:r>
      <w:r w:rsidR="0061438B" w:rsidRPr="00D31361">
        <w:rPr>
          <w:rFonts w:ascii="Calibri" w:hAnsi="Calibri" w:cs="Calibri"/>
          <w:szCs w:val="24"/>
        </w:rPr>
        <w:fldChar w:fldCharType="begin" w:fldLock="1"/>
      </w:r>
      <w:r w:rsidR="00FF47F0" w:rsidRPr="00D31361">
        <w:rPr>
          <w:rFonts w:ascii="Calibri" w:hAnsi="Calibri" w:cs="Calibri"/>
          <w:szCs w:val="24"/>
        </w:rPr>
        <w:instrText>ADDIN CSL_CITATION {"citationItems":[{"id":"ITEM-1","itemData":{"DOI":"10.1186/S12936-017-1925-6","ISSN":"1475-2875","PMID":"28676055","abstract":"In spite of significant progress towards malaria control and elimination achieved in South America in the 2000s, this mosquito-transmitted tropical disease remains an important public health concern in the region. Most malaria cases in South America come from Amazon rain forest areas in northern countries, where more than half of malaria is caused by Plasmodium vivax, while Plasmodium falciparum malaria incidence has decreased in recent years. This review discusses current malaria data, policies and challenges in four South American Amazon countries: Brazil, Colombia, Peru and the Bolivarian Republic of Venezuela. Challenges to continuing efforts to further decrease malaria incidence in this region include: a significant increase in malaria cases in recent years in Venezuela, evidence of submicroscopic and asymptomatic infections, peri-urban malaria, gold mining-related malaria, malaria in pregnancy, glucose-6-phosphate dehydrogenase (G6PD) deficiency and primaquine use, and possible under-detection of Plasmodium malariae. Some of these challenges underscore the need to implement appropriate tools and procedures in specific regions, such as a field-compatible molecular malaria test, a P. malariae-specific test, malaria diagnosis and appropriate treatment as part of regular antenatal care visits, G6PD test before primaquine administration for P. vivax cases (with weekly primaquine regimen for G6PD deficient individuals), single low dose of primaquine for P. falciparum malaria in Colombia, and national and regional efforts to contain malaria spread in Venezuela urgently needed especially in mining areas. Joint efforts and commitment towards malaria control and elimination should be strategized based on examples of successful regional malaria fighting initiatives, such as PAMAFRO and RAVREDA/AMI.","author":[{"dropping-particle":"","family":"Recht","given":"Judith","non-dropping-particle":"","parse-names":false,"suffix":""},{"dropping-particle":"","family":"Siqueira","given":"André M.","non-dropping-particle":"","parse-names":false,"suffix":""},{"dropping-particle":"","family":"Monteiro","given":"Wuelton M.","non-dropping-particle":"","parse-names":false,"suffix":""},{"dropping-particle":"","family":"Herrera","given":"Sonia M.","non-dropping-particle":"","parse-names":false,"suffix":""},{"dropping-particle":"","family":"Herrera","given":"Sócrates","non-dropping-particle":"","parse-names":false,"suffix":""},{"dropping-particle":"","family":"Lacerda","given":"Marcus V.G.","non-dropping-particle":"","parse-names":false,"suffix":""}],"container-title":"Malaria Journal 2017 16:1","id":"ITEM-1","issue":"1","issued":{"date-parts":[["2017","7","4"]]},"page":"1-18","publisher":"BioMed Central","title":"Malaria in Brazil, Colombia, Peru and Venezuela: current challenges in malaria control and elimination","type":"article-journal","volume":"16"},"uris":["http://www.mendeley.com/documents/?uuid=f53ba163-0d78-3e9c-8fc4-385493952ef2"]}],"mendeley":{"formattedCitation":"(Recht et al., 2017)","plainTextFormattedCitation":"(Recht et al., 2017)","previouslyFormattedCitation":"(Recht et al., 2017)"},"properties":{"noteIndex":0},"schema":"https://github.com/citation-style-language/schema/raw/master/csl-citation.json"}</w:instrText>
      </w:r>
      <w:r w:rsidR="0061438B" w:rsidRPr="00D31361">
        <w:rPr>
          <w:rFonts w:ascii="Calibri" w:hAnsi="Calibri" w:cs="Calibri"/>
          <w:szCs w:val="24"/>
        </w:rPr>
        <w:fldChar w:fldCharType="separate"/>
      </w:r>
      <w:r w:rsidR="007C4EF9" w:rsidRPr="00D31361">
        <w:rPr>
          <w:rFonts w:ascii="Calibri" w:hAnsi="Calibri" w:cs="Calibri"/>
          <w:noProof/>
          <w:szCs w:val="24"/>
        </w:rPr>
        <w:t>(Recht et al., 2017)</w:t>
      </w:r>
      <w:r w:rsidR="0061438B" w:rsidRPr="00D31361">
        <w:rPr>
          <w:rFonts w:ascii="Calibri" w:hAnsi="Calibri" w:cs="Calibri"/>
          <w:szCs w:val="24"/>
        </w:rPr>
        <w:fldChar w:fldCharType="end"/>
      </w:r>
      <w:r w:rsidR="002B00F5" w:rsidRPr="00D31361">
        <w:rPr>
          <w:rFonts w:ascii="Calibri" w:hAnsi="Calibri" w:cs="Calibri"/>
          <w:szCs w:val="24"/>
        </w:rPr>
        <w:t xml:space="preserve">. </w:t>
      </w:r>
      <w:r w:rsidR="000345EE" w:rsidRPr="00D31361">
        <w:rPr>
          <w:rFonts w:ascii="Calibri" w:hAnsi="Calibri" w:cs="Calibri"/>
          <w:szCs w:val="24"/>
        </w:rPr>
        <w:t xml:space="preserve">It has been reported that after a decline between 2005 and 2014, the cases of Malaria began to spike in 2015 following the conflict in Venezuela (a neighboring country), which has led most of </w:t>
      </w:r>
      <w:r w:rsidR="00996C5A" w:rsidRPr="00D31361">
        <w:rPr>
          <w:rFonts w:ascii="Calibri" w:hAnsi="Calibri" w:cs="Calibri"/>
          <w:szCs w:val="24"/>
        </w:rPr>
        <w:t>its</w:t>
      </w:r>
      <w:r w:rsidR="000345EE" w:rsidRPr="00D31361">
        <w:rPr>
          <w:rFonts w:ascii="Calibri" w:hAnsi="Calibri" w:cs="Calibri"/>
          <w:szCs w:val="24"/>
        </w:rPr>
        <w:t xml:space="preserve"> citizens to migrate to Colombia and other neighboring countries. </w:t>
      </w:r>
      <w:r w:rsidR="00996C5A" w:rsidRPr="00D31361">
        <w:rPr>
          <w:rFonts w:ascii="Calibri" w:hAnsi="Calibri" w:cs="Calibri"/>
          <w:szCs w:val="24"/>
        </w:rPr>
        <w:t xml:space="preserve">This phenomenon </w:t>
      </w:r>
      <w:r w:rsidR="00FE7465" w:rsidRPr="00D31361">
        <w:rPr>
          <w:rFonts w:ascii="Calibri" w:hAnsi="Calibri" w:cs="Calibri"/>
          <w:szCs w:val="24"/>
        </w:rPr>
        <w:t xml:space="preserve">impacts the number of cases of Malaria in Colombia, which rocketed after the significant </w:t>
      </w:r>
      <w:r w:rsidR="00B077C3" w:rsidRPr="00D31361">
        <w:rPr>
          <w:rFonts w:ascii="Calibri" w:hAnsi="Calibri" w:cs="Calibri"/>
          <w:szCs w:val="24"/>
        </w:rPr>
        <w:t>migration began.</w:t>
      </w:r>
    </w:p>
    <w:p w14:paraId="21DCF87E" w14:textId="77777777" w:rsidR="00E47001" w:rsidRPr="00D31361" w:rsidRDefault="00000000" w:rsidP="00D31361">
      <w:pPr>
        <w:spacing w:line="360" w:lineRule="auto"/>
        <w:ind w:left="0" w:firstLine="0"/>
        <w:jc w:val="both"/>
        <w:rPr>
          <w:rFonts w:ascii="Calibri" w:hAnsi="Calibri" w:cs="Calibri"/>
          <w:b/>
          <w:bCs/>
          <w:szCs w:val="24"/>
          <w:lang w:val="en-CA"/>
        </w:rPr>
      </w:pPr>
      <w:r w:rsidRPr="00D31361">
        <w:rPr>
          <w:rFonts w:ascii="Calibri" w:hAnsi="Calibri" w:cs="Calibri"/>
          <w:b/>
          <w:bCs/>
          <w:szCs w:val="24"/>
        </w:rPr>
        <w:t>DATA DECISIONS</w:t>
      </w:r>
    </w:p>
    <w:p w14:paraId="3535ADD9" w14:textId="77777777" w:rsidR="00277460" w:rsidRPr="00D31361" w:rsidRDefault="00000000" w:rsidP="00D31361">
      <w:pPr>
        <w:spacing w:after="255" w:line="360" w:lineRule="auto"/>
        <w:ind w:left="0" w:right="0" w:firstLine="720"/>
        <w:jc w:val="both"/>
        <w:rPr>
          <w:rFonts w:ascii="Calibri" w:hAnsi="Calibri" w:cs="Calibri"/>
          <w:szCs w:val="24"/>
        </w:rPr>
      </w:pPr>
      <w:r w:rsidRPr="00D31361">
        <w:rPr>
          <w:rFonts w:ascii="Calibri" w:hAnsi="Calibri" w:cs="Calibri"/>
          <w:szCs w:val="24"/>
        </w:rPr>
        <w:t xml:space="preserve">Following a thorough review of the available data, the team decided to determine the disease's age group distribution </w:t>
      </w:r>
      <w:r w:rsidR="00A34D92" w:rsidRPr="00D31361">
        <w:rPr>
          <w:rFonts w:ascii="Calibri" w:hAnsi="Calibri" w:cs="Calibri"/>
          <w:szCs w:val="24"/>
        </w:rPr>
        <w:t xml:space="preserve">and </w:t>
      </w:r>
      <w:r w:rsidRPr="00D31361">
        <w:rPr>
          <w:rFonts w:ascii="Calibri" w:hAnsi="Calibri" w:cs="Calibri"/>
          <w:szCs w:val="24"/>
        </w:rPr>
        <w:t>classify the disease's cases by sex, ethnicity</w:t>
      </w:r>
      <w:r w:rsidR="00A34D92" w:rsidRPr="00D31361">
        <w:rPr>
          <w:rFonts w:ascii="Calibri" w:hAnsi="Calibri" w:cs="Calibri"/>
          <w:szCs w:val="24"/>
        </w:rPr>
        <w:t>,</w:t>
      </w:r>
      <w:r w:rsidRPr="00D31361">
        <w:rPr>
          <w:rFonts w:ascii="Calibri" w:hAnsi="Calibri" w:cs="Calibri"/>
          <w:szCs w:val="24"/>
        </w:rPr>
        <w:t xml:space="preserve"> and healthcare coverage. </w:t>
      </w:r>
      <w:r w:rsidR="00543124" w:rsidRPr="00D31361">
        <w:rPr>
          <w:rFonts w:ascii="Calibri" w:hAnsi="Calibri" w:cs="Calibri"/>
          <w:szCs w:val="24"/>
        </w:rPr>
        <w:t xml:space="preserve">This will enable us </w:t>
      </w:r>
      <w:r w:rsidR="00A34D92" w:rsidRPr="00D31361">
        <w:rPr>
          <w:rFonts w:ascii="Calibri" w:hAnsi="Calibri" w:cs="Calibri"/>
          <w:szCs w:val="24"/>
        </w:rPr>
        <w:t xml:space="preserve">to </w:t>
      </w:r>
      <w:r w:rsidR="00543124" w:rsidRPr="00D31361">
        <w:rPr>
          <w:rFonts w:ascii="Calibri" w:hAnsi="Calibri" w:cs="Calibri"/>
          <w:szCs w:val="24"/>
        </w:rPr>
        <w:t>determine the age group most affected, the sex with the highest disease cases, and the ethnic gro</w:t>
      </w:r>
      <w:r w:rsidR="00097FD7" w:rsidRPr="00D31361">
        <w:rPr>
          <w:rFonts w:ascii="Calibri" w:hAnsi="Calibri" w:cs="Calibri"/>
          <w:szCs w:val="24"/>
        </w:rPr>
        <w:t xml:space="preserve">up most affected by the disease to plan target-specific interventions and allocate resources </w:t>
      </w:r>
      <w:r w:rsidR="00926920" w:rsidRPr="00D31361">
        <w:rPr>
          <w:rFonts w:ascii="Calibri" w:hAnsi="Calibri" w:cs="Calibri"/>
          <w:szCs w:val="24"/>
        </w:rPr>
        <w:t>efficiently</w:t>
      </w:r>
      <w:r w:rsidR="00097FD7" w:rsidRPr="00D31361">
        <w:rPr>
          <w:rFonts w:ascii="Calibri" w:hAnsi="Calibri" w:cs="Calibri"/>
          <w:szCs w:val="24"/>
        </w:rPr>
        <w:t>.</w:t>
      </w:r>
    </w:p>
    <w:p w14:paraId="675B40E3" w14:textId="77777777" w:rsidR="00E47001" w:rsidRPr="00D31361" w:rsidRDefault="00000000" w:rsidP="00D31361">
      <w:pPr>
        <w:spacing w:line="360" w:lineRule="auto"/>
        <w:ind w:left="0" w:firstLine="0"/>
        <w:jc w:val="both"/>
        <w:rPr>
          <w:rFonts w:ascii="Calibri" w:hAnsi="Calibri" w:cs="Calibri"/>
          <w:b/>
          <w:bCs/>
          <w:szCs w:val="24"/>
          <w:lang w:val="en-CA"/>
        </w:rPr>
      </w:pPr>
      <w:r w:rsidRPr="00D31361">
        <w:rPr>
          <w:rFonts w:ascii="Calibri" w:hAnsi="Calibri" w:cs="Calibri"/>
          <w:b/>
          <w:bCs/>
          <w:szCs w:val="24"/>
        </w:rPr>
        <w:t>DATA ACQUISITION</w:t>
      </w:r>
    </w:p>
    <w:p w14:paraId="32D52340" w14:textId="77777777" w:rsidR="00E47001" w:rsidRPr="00D31361" w:rsidRDefault="00000000" w:rsidP="00D31361">
      <w:pPr>
        <w:spacing w:after="202" w:line="360" w:lineRule="auto"/>
        <w:ind w:left="0" w:right="0" w:firstLine="720"/>
        <w:jc w:val="both"/>
        <w:rPr>
          <w:rFonts w:ascii="Calibri" w:hAnsi="Calibri" w:cs="Calibri"/>
          <w:szCs w:val="24"/>
        </w:rPr>
      </w:pPr>
      <w:r w:rsidRPr="00D31361">
        <w:rPr>
          <w:rFonts w:ascii="Calibri" w:hAnsi="Calibri" w:cs="Calibri"/>
          <w:szCs w:val="24"/>
        </w:rPr>
        <w:t xml:space="preserve">Data was obtained from the </w:t>
      </w:r>
      <w:r w:rsidR="00A34D92" w:rsidRPr="00D31361">
        <w:rPr>
          <w:rFonts w:ascii="Calibri" w:hAnsi="Calibri" w:cs="Calibri"/>
          <w:szCs w:val="24"/>
        </w:rPr>
        <w:t xml:space="preserve">National </w:t>
      </w:r>
      <w:r w:rsidR="00C96C95" w:rsidRPr="00D31361">
        <w:rPr>
          <w:rFonts w:ascii="Calibri" w:hAnsi="Calibri" w:cs="Calibri"/>
          <w:szCs w:val="24"/>
        </w:rPr>
        <w:t xml:space="preserve">Institute of </w:t>
      </w:r>
      <w:r w:rsidRPr="00D31361">
        <w:rPr>
          <w:rFonts w:ascii="Calibri" w:hAnsi="Calibri" w:cs="Calibri"/>
          <w:szCs w:val="24"/>
        </w:rPr>
        <w:t xml:space="preserve">Health </w:t>
      </w:r>
      <w:r w:rsidR="003B17B5" w:rsidRPr="00D31361">
        <w:rPr>
          <w:rFonts w:ascii="Calibri" w:hAnsi="Calibri" w:cs="Calibri"/>
          <w:szCs w:val="24"/>
        </w:rPr>
        <w:t xml:space="preserve">of </w:t>
      </w:r>
      <w:r w:rsidRPr="00D31361">
        <w:rPr>
          <w:rFonts w:ascii="Calibri" w:hAnsi="Calibri" w:cs="Calibri"/>
          <w:szCs w:val="24"/>
        </w:rPr>
        <w:t xml:space="preserve">Colombia, </w:t>
      </w:r>
      <w:r w:rsidR="003B17B5" w:rsidRPr="00D31361">
        <w:rPr>
          <w:rFonts w:ascii="Calibri" w:hAnsi="Calibri" w:cs="Calibri"/>
          <w:szCs w:val="24"/>
        </w:rPr>
        <w:t>which</w:t>
      </w:r>
      <w:r w:rsidRPr="00D31361">
        <w:rPr>
          <w:rFonts w:ascii="Calibri" w:hAnsi="Calibri" w:cs="Calibri"/>
          <w:szCs w:val="24"/>
        </w:rPr>
        <w:t xml:space="preserve"> provided details about individuals who had suffered from the disease. Codes were uniquely assigned to </w:t>
      </w:r>
      <w:proofErr w:type="gramStart"/>
      <w:r w:rsidRPr="00D31361">
        <w:rPr>
          <w:rFonts w:ascii="Calibri" w:hAnsi="Calibri" w:cs="Calibri"/>
          <w:szCs w:val="24"/>
        </w:rPr>
        <w:t>each individual</w:t>
      </w:r>
      <w:proofErr w:type="gramEnd"/>
      <w:r w:rsidRPr="00D31361">
        <w:rPr>
          <w:rFonts w:ascii="Calibri" w:hAnsi="Calibri" w:cs="Calibri"/>
          <w:szCs w:val="24"/>
        </w:rPr>
        <w:t xml:space="preserve">, and all identifiers were eliminated to keep individual identities anonymous. </w:t>
      </w:r>
      <w:r w:rsidR="00543124" w:rsidRPr="00D31361">
        <w:rPr>
          <w:rFonts w:ascii="Calibri" w:hAnsi="Calibri" w:cs="Calibri"/>
          <w:szCs w:val="24"/>
        </w:rPr>
        <w:t xml:space="preserve">Variables collected in the data include </w:t>
      </w:r>
      <w:r w:rsidR="00BD5E86" w:rsidRPr="00D31361">
        <w:rPr>
          <w:rFonts w:ascii="Calibri" w:hAnsi="Calibri" w:cs="Calibri"/>
          <w:szCs w:val="24"/>
        </w:rPr>
        <w:t xml:space="preserve">the </w:t>
      </w:r>
      <w:r w:rsidR="00543124" w:rsidRPr="00D31361">
        <w:rPr>
          <w:rFonts w:ascii="Calibri" w:hAnsi="Calibri" w:cs="Calibri"/>
          <w:szCs w:val="24"/>
        </w:rPr>
        <w:t>date hea</w:t>
      </w:r>
      <w:r w:rsidR="00097FD7" w:rsidRPr="00D31361">
        <w:rPr>
          <w:rFonts w:ascii="Calibri" w:hAnsi="Calibri" w:cs="Calibri"/>
          <w:szCs w:val="24"/>
        </w:rPr>
        <w:t>l</w:t>
      </w:r>
      <w:r w:rsidR="00543124" w:rsidRPr="00D31361">
        <w:rPr>
          <w:rFonts w:ascii="Calibri" w:hAnsi="Calibri" w:cs="Calibri"/>
          <w:szCs w:val="24"/>
        </w:rPr>
        <w:t>th authorities were notified about the case, year of occurrence, age of the individual, ethnicity, migrant status, pregnancy status for females</w:t>
      </w:r>
      <w:r w:rsidR="00BD5E86" w:rsidRPr="00D31361">
        <w:rPr>
          <w:rFonts w:ascii="Calibri" w:hAnsi="Calibri" w:cs="Calibri"/>
          <w:szCs w:val="24"/>
        </w:rPr>
        <w:t>,</w:t>
      </w:r>
      <w:r w:rsidR="00543124" w:rsidRPr="00D31361">
        <w:rPr>
          <w:rFonts w:ascii="Calibri" w:hAnsi="Calibri" w:cs="Calibri"/>
          <w:szCs w:val="24"/>
        </w:rPr>
        <w:t xml:space="preserve"> and the department of occurrence (synonymous with province).</w:t>
      </w:r>
    </w:p>
    <w:p w14:paraId="35B61F79" w14:textId="77777777" w:rsidR="008424D1" w:rsidRPr="00D31361" w:rsidRDefault="00000000" w:rsidP="00D31361">
      <w:pPr>
        <w:spacing w:line="360" w:lineRule="auto"/>
        <w:ind w:left="0" w:firstLine="0"/>
        <w:jc w:val="both"/>
        <w:rPr>
          <w:rFonts w:ascii="Calibri" w:hAnsi="Calibri" w:cs="Calibri"/>
          <w:b/>
          <w:bCs/>
          <w:szCs w:val="24"/>
        </w:rPr>
      </w:pPr>
      <w:r w:rsidRPr="00D31361">
        <w:rPr>
          <w:rFonts w:ascii="Calibri" w:hAnsi="Calibri" w:cs="Calibri"/>
          <w:b/>
          <w:bCs/>
          <w:szCs w:val="24"/>
        </w:rPr>
        <w:t>DATA TIMING</w:t>
      </w:r>
    </w:p>
    <w:p w14:paraId="26E23AE7" w14:textId="7A87FC64" w:rsidR="00CD2DF4" w:rsidRDefault="00000000" w:rsidP="00D31361">
      <w:pPr>
        <w:spacing w:after="202" w:line="360" w:lineRule="auto"/>
        <w:ind w:left="0" w:right="0" w:firstLine="720"/>
        <w:jc w:val="both"/>
        <w:rPr>
          <w:rFonts w:ascii="Calibri" w:hAnsi="Calibri" w:cs="Calibri"/>
          <w:szCs w:val="24"/>
        </w:rPr>
      </w:pPr>
      <w:r w:rsidRPr="00D31361">
        <w:rPr>
          <w:rFonts w:ascii="Calibri" w:hAnsi="Calibri" w:cs="Calibri"/>
          <w:szCs w:val="24"/>
        </w:rPr>
        <w:t xml:space="preserve">This research </w:t>
      </w:r>
      <w:r w:rsidR="003B17B5" w:rsidRPr="00D31361">
        <w:rPr>
          <w:rFonts w:ascii="Calibri" w:hAnsi="Calibri" w:cs="Calibri"/>
          <w:szCs w:val="24"/>
        </w:rPr>
        <w:t>explore</w:t>
      </w:r>
      <w:r w:rsidR="00A56216" w:rsidRPr="00D31361">
        <w:rPr>
          <w:rFonts w:ascii="Calibri" w:hAnsi="Calibri" w:cs="Calibri"/>
          <w:szCs w:val="24"/>
        </w:rPr>
        <w:t>d</w:t>
      </w:r>
      <w:r w:rsidR="003B17B5" w:rsidRPr="00D31361">
        <w:rPr>
          <w:rFonts w:ascii="Calibri" w:hAnsi="Calibri" w:cs="Calibri"/>
          <w:szCs w:val="24"/>
        </w:rPr>
        <w:t xml:space="preserve"> </w:t>
      </w:r>
      <w:r w:rsidR="00A56216" w:rsidRPr="00D31361">
        <w:rPr>
          <w:rFonts w:ascii="Calibri" w:hAnsi="Calibri" w:cs="Calibri"/>
          <w:szCs w:val="24"/>
        </w:rPr>
        <w:t>reported</w:t>
      </w:r>
      <w:r w:rsidR="003B17B5" w:rsidRPr="00D31361">
        <w:rPr>
          <w:rFonts w:ascii="Calibri" w:hAnsi="Calibri" w:cs="Calibri"/>
          <w:szCs w:val="24"/>
        </w:rPr>
        <w:t xml:space="preserve"> Malaria cases in Colombia between 2015 and 2023 by sex, ethnicity, age distribution</w:t>
      </w:r>
      <w:r w:rsidR="00A62C32" w:rsidRPr="00D31361">
        <w:rPr>
          <w:rFonts w:ascii="Calibri" w:hAnsi="Calibri" w:cs="Calibri"/>
          <w:szCs w:val="24"/>
        </w:rPr>
        <w:t>,</w:t>
      </w:r>
      <w:r w:rsidR="003B17B5" w:rsidRPr="00D31361">
        <w:rPr>
          <w:rFonts w:ascii="Calibri" w:hAnsi="Calibri" w:cs="Calibri"/>
          <w:szCs w:val="24"/>
        </w:rPr>
        <w:t xml:space="preserve"> and </w:t>
      </w:r>
      <w:r w:rsidR="00A56216" w:rsidRPr="00D31361">
        <w:rPr>
          <w:rFonts w:ascii="Calibri" w:hAnsi="Calibri" w:cs="Calibri"/>
          <w:szCs w:val="24"/>
        </w:rPr>
        <w:t>health coverage.</w:t>
      </w:r>
      <w:r w:rsidR="003B17B5" w:rsidRPr="00D31361">
        <w:rPr>
          <w:rFonts w:ascii="Calibri" w:hAnsi="Calibri" w:cs="Calibri"/>
          <w:szCs w:val="24"/>
        </w:rPr>
        <w:t xml:space="preserve"> </w:t>
      </w:r>
      <w:r w:rsidR="00A56216" w:rsidRPr="00D31361">
        <w:rPr>
          <w:rFonts w:ascii="Calibri" w:hAnsi="Calibri" w:cs="Calibri"/>
          <w:szCs w:val="24"/>
        </w:rPr>
        <w:t xml:space="preserve">The data was thoroughly screened for duplicates, </w:t>
      </w:r>
      <w:r w:rsidR="00A62C32" w:rsidRPr="00D31361">
        <w:rPr>
          <w:rFonts w:ascii="Calibri" w:hAnsi="Calibri" w:cs="Calibri"/>
          <w:szCs w:val="24"/>
        </w:rPr>
        <w:t>cleaned,</w:t>
      </w:r>
      <w:r w:rsidR="00A56216" w:rsidRPr="00D31361">
        <w:rPr>
          <w:rFonts w:ascii="Calibri" w:hAnsi="Calibri" w:cs="Calibri"/>
          <w:szCs w:val="24"/>
        </w:rPr>
        <w:t xml:space="preserve"> and made </w:t>
      </w:r>
      <w:r w:rsidR="001E38E2" w:rsidRPr="00D31361">
        <w:rPr>
          <w:rFonts w:ascii="Calibri" w:hAnsi="Calibri" w:cs="Calibri"/>
          <w:szCs w:val="24"/>
        </w:rPr>
        <w:t>analysis ready</w:t>
      </w:r>
      <w:r w:rsidR="00A56216" w:rsidRPr="00D31361">
        <w:rPr>
          <w:rFonts w:ascii="Calibri" w:hAnsi="Calibri" w:cs="Calibri"/>
          <w:szCs w:val="24"/>
        </w:rPr>
        <w:t>.</w:t>
      </w:r>
    </w:p>
    <w:p w14:paraId="222333B4" w14:textId="77777777" w:rsidR="00D31361" w:rsidRDefault="00D31361" w:rsidP="00D31361">
      <w:pPr>
        <w:spacing w:after="202" w:line="360" w:lineRule="auto"/>
        <w:ind w:left="0" w:right="0" w:firstLine="720"/>
        <w:jc w:val="both"/>
        <w:rPr>
          <w:rFonts w:ascii="Calibri" w:hAnsi="Calibri" w:cs="Calibri"/>
          <w:szCs w:val="24"/>
        </w:rPr>
      </w:pPr>
    </w:p>
    <w:p w14:paraId="3785ADFD" w14:textId="77777777" w:rsidR="00D31361" w:rsidRPr="00D31361" w:rsidRDefault="00D31361" w:rsidP="00D31361">
      <w:pPr>
        <w:spacing w:after="202" w:line="360" w:lineRule="auto"/>
        <w:ind w:left="0" w:right="0" w:firstLine="720"/>
        <w:jc w:val="both"/>
        <w:rPr>
          <w:rFonts w:ascii="Calibri" w:hAnsi="Calibri" w:cs="Calibri"/>
          <w:szCs w:val="24"/>
        </w:rPr>
      </w:pPr>
    </w:p>
    <w:p w14:paraId="4FFA7081" w14:textId="77777777" w:rsidR="00801F21" w:rsidRPr="00D31361" w:rsidRDefault="00000000" w:rsidP="00D31361">
      <w:pPr>
        <w:spacing w:after="202" w:line="360" w:lineRule="auto"/>
        <w:ind w:left="0" w:right="0" w:firstLine="0"/>
        <w:jc w:val="both"/>
        <w:rPr>
          <w:rFonts w:ascii="Calibri" w:hAnsi="Calibri" w:cs="Calibri"/>
          <w:b/>
          <w:bCs/>
          <w:szCs w:val="24"/>
        </w:rPr>
      </w:pPr>
      <w:r w:rsidRPr="00D31361">
        <w:rPr>
          <w:rFonts w:ascii="Calibri" w:hAnsi="Calibri" w:cs="Calibri"/>
          <w:b/>
          <w:bCs/>
          <w:szCs w:val="24"/>
        </w:rPr>
        <w:lastRenderedPageBreak/>
        <w:t>DATA ANALYSIS</w:t>
      </w:r>
    </w:p>
    <w:p w14:paraId="55BAF4BB" w14:textId="77777777" w:rsidR="00097FD7" w:rsidRPr="00D31361" w:rsidRDefault="00000000" w:rsidP="00D31361">
      <w:pPr>
        <w:spacing w:after="202" w:line="360" w:lineRule="auto"/>
        <w:ind w:left="0" w:right="0" w:firstLine="720"/>
        <w:jc w:val="both"/>
        <w:rPr>
          <w:rFonts w:ascii="Calibri" w:hAnsi="Calibri" w:cs="Calibri"/>
          <w:bCs/>
          <w:szCs w:val="24"/>
        </w:rPr>
      </w:pPr>
      <w:r w:rsidRPr="00D31361">
        <w:rPr>
          <w:rFonts w:ascii="Calibri" w:hAnsi="Calibri" w:cs="Calibri"/>
          <w:bCs/>
          <w:szCs w:val="24"/>
        </w:rPr>
        <w:t>The data analysis focused on aggregating the malaria cases recorded in Colombia by sex, ethnicity, migrant status, pregnancy</w:t>
      </w:r>
      <w:r w:rsidR="00A62C32" w:rsidRPr="00D31361">
        <w:rPr>
          <w:rFonts w:ascii="Calibri" w:hAnsi="Calibri" w:cs="Calibri"/>
          <w:bCs/>
          <w:szCs w:val="24"/>
        </w:rPr>
        <w:t>,</w:t>
      </w:r>
      <w:r w:rsidRPr="00D31361">
        <w:rPr>
          <w:rFonts w:ascii="Calibri" w:hAnsi="Calibri" w:cs="Calibri"/>
          <w:bCs/>
          <w:szCs w:val="24"/>
        </w:rPr>
        <w:t xml:space="preserve"> and hospitalization. The years covered in the analysis were 2015 to 2023 to determine the pattern of occurrence of the disease among people in Colombia.</w:t>
      </w:r>
    </w:p>
    <w:p w14:paraId="004B8B0B" w14:textId="77777777" w:rsidR="00573573" w:rsidRPr="00D31361" w:rsidRDefault="00000000" w:rsidP="00D31361">
      <w:pPr>
        <w:spacing w:after="202" w:line="360" w:lineRule="auto"/>
        <w:ind w:left="0" w:right="0" w:firstLine="0"/>
        <w:jc w:val="both"/>
        <w:rPr>
          <w:rFonts w:ascii="Calibri" w:hAnsi="Calibri" w:cs="Calibri"/>
          <w:bCs/>
          <w:szCs w:val="24"/>
        </w:rPr>
      </w:pPr>
      <w:r w:rsidRPr="00D31361">
        <w:rPr>
          <w:rFonts w:ascii="Calibri" w:hAnsi="Calibri" w:cs="Calibri"/>
          <w:b/>
          <w:bCs/>
          <w:szCs w:val="24"/>
        </w:rPr>
        <w:t>Cases by sex</w:t>
      </w:r>
    </w:p>
    <w:tbl>
      <w:tblPr>
        <w:tblW w:w="5360" w:type="dxa"/>
        <w:jc w:val="center"/>
        <w:tblCellMar>
          <w:top w:w="15" w:type="dxa"/>
          <w:bottom w:w="15" w:type="dxa"/>
        </w:tblCellMar>
        <w:tblLook w:val="04A0" w:firstRow="1" w:lastRow="0" w:firstColumn="1" w:lastColumn="0" w:noHBand="0" w:noVBand="1"/>
      </w:tblPr>
      <w:tblGrid>
        <w:gridCol w:w="1720"/>
        <w:gridCol w:w="1720"/>
        <w:gridCol w:w="946"/>
        <w:gridCol w:w="1180"/>
      </w:tblGrid>
      <w:tr w:rsidR="00F22443" w:rsidRPr="00D31361" w14:paraId="122D203F" w14:textId="77777777" w:rsidTr="00B077C3">
        <w:trPr>
          <w:trHeight w:val="300"/>
          <w:jc w:val="center"/>
        </w:trPr>
        <w:tc>
          <w:tcPr>
            <w:tcW w:w="1720" w:type="dxa"/>
            <w:tcBorders>
              <w:top w:val="nil"/>
              <w:left w:val="nil"/>
              <w:bottom w:val="nil"/>
              <w:right w:val="nil"/>
            </w:tcBorders>
            <w:shd w:val="clear" w:color="D9E1F2" w:fill="D9E1F2"/>
            <w:noWrap/>
            <w:vAlign w:val="bottom"/>
            <w:hideMark/>
          </w:tcPr>
          <w:p w14:paraId="6D21E80E" w14:textId="77777777" w:rsidR="0050707D" w:rsidRPr="00D31361" w:rsidRDefault="00000000" w:rsidP="00D31361">
            <w:pPr>
              <w:spacing w:after="0" w:line="360" w:lineRule="auto"/>
              <w:ind w:left="0" w:right="0" w:firstLine="0"/>
              <w:jc w:val="both"/>
              <w:rPr>
                <w:rFonts w:ascii="Calibri" w:hAnsi="Calibri" w:cs="Calibri"/>
                <w:b/>
                <w:bCs/>
                <w:kern w:val="0"/>
                <w:szCs w:val="24"/>
                <w:lang w:val="en-GB" w:eastAsia="en-GB"/>
              </w:rPr>
            </w:pPr>
            <w:r w:rsidRPr="00D31361">
              <w:rPr>
                <w:rFonts w:ascii="Calibri" w:hAnsi="Calibri" w:cs="Calibri"/>
                <w:b/>
                <w:bCs/>
                <w:kern w:val="0"/>
                <w:szCs w:val="24"/>
                <w:lang w:val="en-GB" w:eastAsia="en-GB"/>
              </w:rPr>
              <w:t>Row Labels</w:t>
            </w:r>
          </w:p>
        </w:tc>
        <w:tc>
          <w:tcPr>
            <w:tcW w:w="1720" w:type="dxa"/>
            <w:tcBorders>
              <w:top w:val="nil"/>
              <w:left w:val="nil"/>
              <w:bottom w:val="nil"/>
              <w:right w:val="nil"/>
            </w:tcBorders>
            <w:shd w:val="clear" w:color="D9E1F2" w:fill="D9E1F2"/>
            <w:noWrap/>
            <w:vAlign w:val="bottom"/>
            <w:hideMark/>
          </w:tcPr>
          <w:p w14:paraId="48D050BB" w14:textId="77777777" w:rsidR="0050707D" w:rsidRPr="00D31361" w:rsidRDefault="00000000" w:rsidP="00D31361">
            <w:pPr>
              <w:spacing w:after="0" w:line="360" w:lineRule="auto"/>
              <w:ind w:left="0" w:right="0" w:firstLine="0"/>
              <w:jc w:val="both"/>
              <w:rPr>
                <w:rFonts w:ascii="Calibri" w:hAnsi="Calibri" w:cs="Calibri"/>
                <w:b/>
                <w:bCs/>
                <w:kern w:val="0"/>
                <w:szCs w:val="24"/>
                <w:lang w:val="en-GB" w:eastAsia="en-GB"/>
              </w:rPr>
            </w:pPr>
            <w:r w:rsidRPr="00D31361">
              <w:rPr>
                <w:rFonts w:ascii="Calibri" w:hAnsi="Calibri" w:cs="Calibri"/>
                <w:b/>
                <w:bCs/>
                <w:kern w:val="0"/>
                <w:szCs w:val="24"/>
                <w:lang w:val="en-GB" w:eastAsia="en-GB"/>
              </w:rPr>
              <w:t>F</w:t>
            </w:r>
          </w:p>
        </w:tc>
        <w:tc>
          <w:tcPr>
            <w:tcW w:w="740" w:type="dxa"/>
            <w:tcBorders>
              <w:top w:val="nil"/>
              <w:left w:val="nil"/>
              <w:bottom w:val="nil"/>
              <w:right w:val="nil"/>
            </w:tcBorders>
            <w:shd w:val="clear" w:color="D9E1F2" w:fill="D9E1F2"/>
            <w:noWrap/>
            <w:vAlign w:val="bottom"/>
            <w:hideMark/>
          </w:tcPr>
          <w:p w14:paraId="7AB5F085" w14:textId="77777777" w:rsidR="0050707D" w:rsidRPr="00D31361" w:rsidRDefault="00000000" w:rsidP="00D31361">
            <w:pPr>
              <w:spacing w:after="0" w:line="360" w:lineRule="auto"/>
              <w:ind w:left="0" w:right="0" w:firstLine="0"/>
              <w:jc w:val="both"/>
              <w:rPr>
                <w:rFonts w:ascii="Calibri" w:hAnsi="Calibri" w:cs="Calibri"/>
                <w:b/>
                <w:bCs/>
                <w:kern w:val="0"/>
                <w:szCs w:val="24"/>
                <w:lang w:val="en-GB" w:eastAsia="en-GB"/>
              </w:rPr>
            </w:pPr>
            <w:r w:rsidRPr="00D31361">
              <w:rPr>
                <w:rFonts w:ascii="Calibri" w:hAnsi="Calibri" w:cs="Calibri"/>
                <w:b/>
                <w:bCs/>
                <w:kern w:val="0"/>
                <w:szCs w:val="24"/>
                <w:lang w:val="en-GB" w:eastAsia="en-GB"/>
              </w:rPr>
              <w:t>M</w:t>
            </w:r>
          </w:p>
        </w:tc>
        <w:tc>
          <w:tcPr>
            <w:tcW w:w="1180" w:type="dxa"/>
            <w:tcBorders>
              <w:top w:val="nil"/>
              <w:left w:val="nil"/>
              <w:bottom w:val="nil"/>
              <w:right w:val="nil"/>
            </w:tcBorders>
            <w:shd w:val="clear" w:color="D9E1F2" w:fill="D9E1F2"/>
            <w:noWrap/>
            <w:vAlign w:val="bottom"/>
            <w:hideMark/>
          </w:tcPr>
          <w:p w14:paraId="30D90F4F" w14:textId="77777777" w:rsidR="0050707D" w:rsidRPr="00D31361" w:rsidRDefault="00000000" w:rsidP="00D31361">
            <w:pPr>
              <w:spacing w:after="0" w:line="360" w:lineRule="auto"/>
              <w:ind w:left="0" w:right="0" w:firstLine="0"/>
              <w:jc w:val="both"/>
              <w:rPr>
                <w:rFonts w:ascii="Calibri" w:hAnsi="Calibri" w:cs="Calibri"/>
                <w:b/>
                <w:bCs/>
                <w:kern w:val="0"/>
                <w:szCs w:val="24"/>
                <w:lang w:val="en-GB" w:eastAsia="en-GB"/>
              </w:rPr>
            </w:pPr>
            <w:r w:rsidRPr="00D31361">
              <w:rPr>
                <w:rFonts w:ascii="Calibri" w:hAnsi="Calibri" w:cs="Calibri"/>
                <w:b/>
                <w:bCs/>
                <w:kern w:val="0"/>
                <w:szCs w:val="24"/>
                <w:lang w:val="en-GB" w:eastAsia="en-GB"/>
              </w:rPr>
              <w:t>Grand Total</w:t>
            </w:r>
          </w:p>
        </w:tc>
      </w:tr>
      <w:tr w:rsidR="00F22443" w:rsidRPr="00D31361" w14:paraId="1777B3E2" w14:textId="77777777" w:rsidTr="00B077C3">
        <w:trPr>
          <w:trHeight w:val="300"/>
          <w:jc w:val="center"/>
        </w:trPr>
        <w:tc>
          <w:tcPr>
            <w:tcW w:w="1720" w:type="dxa"/>
            <w:tcBorders>
              <w:top w:val="nil"/>
              <w:left w:val="nil"/>
              <w:bottom w:val="nil"/>
              <w:right w:val="nil"/>
            </w:tcBorders>
            <w:noWrap/>
            <w:vAlign w:val="bottom"/>
            <w:hideMark/>
          </w:tcPr>
          <w:p w14:paraId="683ABC7E" w14:textId="77777777" w:rsidR="0050707D" w:rsidRPr="00D31361" w:rsidRDefault="00000000" w:rsidP="00D31361">
            <w:pPr>
              <w:spacing w:after="0" w:line="360" w:lineRule="auto"/>
              <w:ind w:left="0" w:right="0" w:firstLine="0"/>
              <w:jc w:val="both"/>
              <w:rPr>
                <w:rFonts w:ascii="Calibri" w:hAnsi="Calibri" w:cs="Calibri"/>
                <w:b/>
                <w:bCs/>
                <w:kern w:val="0"/>
                <w:szCs w:val="24"/>
                <w:lang w:val="en-GB" w:eastAsia="en-GB"/>
              </w:rPr>
            </w:pPr>
            <w:r w:rsidRPr="00D31361">
              <w:rPr>
                <w:rFonts w:ascii="Calibri" w:hAnsi="Calibri" w:cs="Calibri"/>
                <w:b/>
                <w:bCs/>
                <w:kern w:val="0"/>
                <w:szCs w:val="24"/>
                <w:lang w:val="en-GB" w:eastAsia="en-GB"/>
              </w:rPr>
              <w:t>2015</w:t>
            </w:r>
          </w:p>
        </w:tc>
        <w:tc>
          <w:tcPr>
            <w:tcW w:w="1720" w:type="dxa"/>
            <w:tcBorders>
              <w:top w:val="nil"/>
              <w:left w:val="nil"/>
              <w:bottom w:val="nil"/>
              <w:right w:val="nil"/>
            </w:tcBorders>
            <w:noWrap/>
            <w:vAlign w:val="bottom"/>
            <w:hideMark/>
          </w:tcPr>
          <w:p w14:paraId="305E230A" w14:textId="77777777" w:rsidR="0050707D" w:rsidRPr="00D31361" w:rsidRDefault="00000000" w:rsidP="00D31361">
            <w:pPr>
              <w:spacing w:after="0" w:line="360" w:lineRule="auto"/>
              <w:ind w:left="0" w:right="0" w:firstLine="0"/>
              <w:jc w:val="both"/>
              <w:rPr>
                <w:rFonts w:ascii="Calibri" w:hAnsi="Calibri" w:cs="Calibri"/>
                <w:b/>
                <w:bCs/>
                <w:kern w:val="0"/>
                <w:szCs w:val="24"/>
                <w:lang w:val="en-GB" w:eastAsia="en-GB"/>
              </w:rPr>
            </w:pPr>
            <w:r w:rsidRPr="00D31361">
              <w:rPr>
                <w:rFonts w:ascii="Calibri" w:hAnsi="Calibri" w:cs="Calibri"/>
                <w:b/>
                <w:bCs/>
                <w:kern w:val="0"/>
                <w:szCs w:val="24"/>
                <w:lang w:val="en-GB" w:eastAsia="en-GB"/>
              </w:rPr>
              <w:t>9838</w:t>
            </w:r>
          </w:p>
        </w:tc>
        <w:tc>
          <w:tcPr>
            <w:tcW w:w="740" w:type="dxa"/>
            <w:tcBorders>
              <w:top w:val="nil"/>
              <w:left w:val="nil"/>
              <w:bottom w:val="nil"/>
              <w:right w:val="nil"/>
            </w:tcBorders>
            <w:noWrap/>
            <w:vAlign w:val="bottom"/>
            <w:hideMark/>
          </w:tcPr>
          <w:p w14:paraId="2672F460" w14:textId="77777777" w:rsidR="0050707D" w:rsidRPr="00D31361" w:rsidRDefault="00000000" w:rsidP="00D31361">
            <w:pPr>
              <w:spacing w:after="0" w:line="360" w:lineRule="auto"/>
              <w:ind w:left="0" w:right="0" w:firstLine="0"/>
              <w:jc w:val="both"/>
              <w:rPr>
                <w:rFonts w:ascii="Calibri" w:hAnsi="Calibri" w:cs="Calibri"/>
                <w:b/>
                <w:bCs/>
                <w:kern w:val="0"/>
                <w:szCs w:val="24"/>
                <w:lang w:val="en-GB" w:eastAsia="en-GB"/>
              </w:rPr>
            </w:pPr>
            <w:r w:rsidRPr="00D31361">
              <w:rPr>
                <w:rFonts w:ascii="Calibri" w:hAnsi="Calibri" w:cs="Calibri"/>
                <w:b/>
                <w:bCs/>
                <w:kern w:val="0"/>
                <w:szCs w:val="24"/>
                <w:lang w:val="en-GB" w:eastAsia="en-GB"/>
              </w:rPr>
              <w:t>14317</w:t>
            </w:r>
          </w:p>
        </w:tc>
        <w:tc>
          <w:tcPr>
            <w:tcW w:w="1180" w:type="dxa"/>
            <w:tcBorders>
              <w:top w:val="nil"/>
              <w:left w:val="nil"/>
              <w:bottom w:val="nil"/>
              <w:right w:val="nil"/>
            </w:tcBorders>
            <w:noWrap/>
            <w:vAlign w:val="bottom"/>
            <w:hideMark/>
          </w:tcPr>
          <w:p w14:paraId="2315D421" w14:textId="77777777" w:rsidR="0050707D" w:rsidRPr="00D31361" w:rsidRDefault="00000000" w:rsidP="00D31361">
            <w:pPr>
              <w:spacing w:after="0" w:line="360" w:lineRule="auto"/>
              <w:ind w:left="0" w:right="0" w:firstLine="0"/>
              <w:jc w:val="both"/>
              <w:rPr>
                <w:rFonts w:ascii="Calibri" w:hAnsi="Calibri" w:cs="Calibri"/>
                <w:b/>
                <w:bCs/>
                <w:kern w:val="0"/>
                <w:szCs w:val="24"/>
                <w:lang w:val="en-GB" w:eastAsia="en-GB"/>
              </w:rPr>
            </w:pPr>
            <w:r w:rsidRPr="00D31361">
              <w:rPr>
                <w:rFonts w:ascii="Calibri" w:hAnsi="Calibri" w:cs="Calibri"/>
                <w:b/>
                <w:bCs/>
                <w:kern w:val="0"/>
                <w:szCs w:val="24"/>
                <w:lang w:val="en-GB" w:eastAsia="en-GB"/>
              </w:rPr>
              <w:t>24155</w:t>
            </w:r>
          </w:p>
        </w:tc>
      </w:tr>
      <w:tr w:rsidR="00F22443" w:rsidRPr="00D31361" w14:paraId="2CFF902B" w14:textId="77777777" w:rsidTr="00B077C3">
        <w:trPr>
          <w:trHeight w:val="300"/>
          <w:jc w:val="center"/>
        </w:trPr>
        <w:tc>
          <w:tcPr>
            <w:tcW w:w="1720" w:type="dxa"/>
            <w:tcBorders>
              <w:top w:val="nil"/>
              <w:left w:val="nil"/>
              <w:bottom w:val="nil"/>
              <w:right w:val="nil"/>
            </w:tcBorders>
            <w:noWrap/>
            <w:vAlign w:val="bottom"/>
            <w:hideMark/>
          </w:tcPr>
          <w:p w14:paraId="663C99ED" w14:textId="77777777" w:rsidR="0050707D" w:rsidRPr="00D31361" w:rsidRDefault="00000000" w:rsidP="00D31361">
            <w:pPr>
              <w:spacing w:after="0" w:line="360" w:lineRule="auto"/>
              <w:ind w:left="0" w:right="0" w:firstLine="0"/>
              <w:jc w:val="both"/>
              <w:rPr>
                <w:rFonts w:ascii="Calibri" w:hAnsi="Calibri" w:cs="Calibri"/>
                <w:b/>
                <w:bCs/>
                <w:kern w:val="0"/>
                <w:szCs w:val="24"/>
                <w:lang w:val="en-GB" w:eastAsia="en-GB"/>
              </w:rPr>
            </w:pPr>
            <w:r w:rsidRPr="00D31361">
              <w:rPr>
                <w:rFonts w:ascii="Calibri" w:hAnsi="Calibri" w:cs="Calibri"/>
                <w:b/>
                <w:bCs/>
                <w:kern w:val="0"/>
                <w:szCs w:val="24"/>
                <w:lang w:val="en-GB" w:eastAsia="en-GB"/>
              </w:rPr>
              <w:t>2016</w:t>
            </w:r>
          </w:p>
        </w:tc>
        <w:tc>
          <w:tcPr>
            <w:tcW w:w="1720" w:type="dxa"/>
            <w:tcBorders>
              <w:top w:val="nil"/>
              <w:left w:val="nil"/>
              <w:bottom w:val="nil"/>
              <w:right w:val="nil"/>
            </w:tcBorders>
            <w:noWrap/>
            <w:vAlign w:val="bottom"/>
            <w:hideMark/>
          </w:tcPr>
          <w:p w14:paraId="3DE9F51C" w14:textId="77777777" w:rsidR="0050707D" w:rsidRPr="00D31361" w:rsidRDefault="00000000" w:rsidP="00D31361">
            <w:pPr>
              <w:spacing w:after="0" w:line="360" w:lineRule="auto"/>
              <w:ind w:left="0" w:right="0" w:firstLine="0"/>
              <w:jc w:val="both"/>
              <w:rPr>
                <w:rFonts w:ascii="Calibri" w:hAnsi="Calibri" w:cs="Calibri"/>
                <w:b/>
                <w:bCs/>
                <w:kern w:val="0"/>
                <w:szCs w:val="24"/>
                <w:lang w:val="en-GB" w:eastAsia="en-GB"/>
              </w:rPr>
            </w:pPr>
            <w:r w:rsidRPr="00D31361">
              <w:rPr>
                <w:rFonts w:ascii="Calibri" w:hAnsi="Calibri" w:cs="Calibri"/>
                <w:b/>
                <w:bCs/>
                <w:kern w:val="0"/>
                <w:szCs w:val="24"/>
                <w:lang w:val="en-GB" w:eastAsia="en-GB"/>
              </w:rPr>
              <w:t>13975</w:t>
            </w:r>
          </w:p>
        </w:tc>
        <w:tc>
          <w:tcPr>
            <w:tcW w:w="740" w:type="dxa"/>
            <w:tcBorders>
              <w:top w:val="nil"/>
              <w:left w:val="nil"/>
              <w:bottom w:val="nil"/>
              <w:right w:val="nil"/>
            </w:tcBorders>
            <w:noWrap/>
            <w:vAlign w:val="bottom"/>
            <w:hideMark/>
          </w:tcPr>
          <w:p w14:paraId="536D0F1C" w14:textId="77777777" w:rsidR="0050707D" w:rsidRPr="00D31361" w:rsidRDefault="00000000" w:rsidP="00D31361">
            <w:pPr>
              <w:spacing w:after="0" w:line="360" w:lineRule="auto"/>
              <w:ind w:left="0" w:right="0" w:firstLine="0"/>
              <w:jc w:val="both"/>
              <w:rPr>
                <w:rFonts w:ascii="Calibri" w:hAnsi="Calibri" w:cs="Calibri"/>
                <w:b/>
                <w:bCs/>
                <w:kern w:val="0"/>
                <w:szCs w:val="24"/>
                <w:lang w:val="en-GB" w:eastAsia="en-GB"/>
              </w:rPr>
            </w:pPr>
            <w:r w:rsidRPr="00D31361">
              <w:rPr>
                <w:rFonts w:ascii="Calibri" w:hAnsi="Calibri" w:cs="Calibri"/>
                <w:b/>
                <w:bCs/>
                <w:kern w:val="0"/>
                <w:szCs w:val="24"/>
                <w:lang w:val="en-GB" w:eastAsia="en-GB"/>
              </w:rPr>
              <w:t>19741</w:t>
            </w:r>
          </w:p>
        </w:tc>
        <w:tc>
          <w:tcPr>
            <w:tcW w:w="1180" w:type="dxa"/>
            <w:tcBorders>
              <w:top w:val="nil"/>
              <w:left w:val="nil"/>
              <w:bottom w:val="nil"/>
              <w:right w:val="nil"/>
            </w:tcBorders>
            <w:noWrap/>
            <w:vAlign w:val="bottom"/>
            <w:hideMark/>
          </w:tcPr>
          <w:p w14:paraId="19E97A25" w14:textId="77777777" w:rsidR="0050707D" w:rsidRPr="00D31361" w:rsidRDefault="00000000" w:rsidP="00D31361">
            <w:pPr>
              <w:spacing w:after="0" w:line="360" w:lineRule="auto"/>
              <w:ind w:left="0" w:right="0" w:firstLine="0"/>
              <w:jc w:val="both"/>
              <w:rPr>
                <w:rFonts w:ascii="Calibri" w:hAnsi="Calibri" w:cs="Calibri"/>
                <w:b/>
                <w:bCs/>
                <w:kern w:val="0"/>
                <w:szCs w:val="24"/>
                <w:lang w:val="en-GB" w:eastAsia="en-GB"/>
              </w:rPr>
            </w:pPr>
            <w:r w:rsidRPr="00D31361">
              <w:rPr>
                <w:rFonts w:ascii="Calibri" w:hAnsi="Calibri" w:cs="Calibri"/>
                <w:b/>
                <w:bCs/>
                <w:kern w:val="0"/>
                <w:szCs w:val="24"/>
                <w:lang w:val="en-GB" w:eastAsia="en-GB"/>
              </w:rPr>
              <w:t>33716</w:t>
            </w:r>
          </w:p>
        </w:tc>
      </w:tr>
      <w:tr w:rsidR="00F22443" w:rsidRPr="00D31361" w14:paraId="0B1D1581" w14:textId="77777777" w:rsidTr="00B077C3">
        <w:trPr>
          <w:trHeight w:val="300"/>
          <w:jc w:val="center"/>
        </w:trPr>
        <w:tc>
          <w:tcPr>
            <w:tcW w:w="1720" w:type="dxa"/>
            <w:tcBorders>
              <w:top w:val="nil"/>
              <w:left w:val="nil"/>
              <w:bottom w:val="nil"/>
              <w:right w:val="nil"/>
            </w:tcBorders>
            <w:noWrap/>
            <w:vAlign w:val="bottom"/>
            <w:hideMark/>
          </w:tcPr>
          <w:p w14:paraId="634A9A56" w14:textId="77777777" w:rsidR="0050707D" w:rsidRPr="00D31361" w:rsidRDefault="00000000" w:rsidP="00D31361">
            <w:pPr>
              <w:spacing w:after="0" w:line="360" w:lineRule="auto"/>
              <w:ind w:left="0" w:right="0" w:firstLine="0"/>
              <w:jc w:val="both"/>
              <w:rPr>
                <w:rFonts w:ascii="Calibri" w:hAnsi="Calibri" w:cs="Calibri"/>
                <w:b/>
                <w:bCs/>
                <w:kern w:val="0"/>
                <w:szCs w:val="24"/>
                <w:lang w:val="en-GB" w:eastAsia="en-GB"/>
              </w:rPr>
            </w:pPr>
            <w:r w:rsidRPr="00D31361">
              <w:rPr>
                <w:rFonts w:ascii="Calibri" w:hAnsi="Calibri" w:cs="Calibri"/>
                <w:b/>
                <w:bCs/>
                <w:kern w:val="0"/>
                <w:szCs w:val="24"/>
                <w:lang w:val="en-GB" w:eastAsia="en-GB"/>
              </w:rPr>
              <w:t>2017</w:t>
            </w:r>
          </w:p>
        </w:tc>
        <w:tc>
          <w:tcPr>
            <w:tcW w:w="1720" w:type="dxa"/>
            <w:tcBorders>
              <w:top w:val="nil"/>
              <w:left w:val="nil"/>
              <w:bottom w:val="nil"/>
              <w:right w:val="nil"/>
            </w:tcBorders>
            <w:noWrap/>
            <w:vAlign w:val="bottom"/>
            <w:hideMark/>
          </w:tcPr>
          <w:p w14:paraId="400FB17B" w14:textId="77777777" w:rsidR="0050707D" w:rsidRPr="00D31361" w:rsidRDefault="00000000" w:rsidP="00D31361">
            <w:pPr>
              <w:spacing w:after="0" w:line="360" w:lineRule="auto"/>
              <w:ind w:left="0" w:right="0" w:firstLine="0"/>
              <w:jc w:val="both"/>
              <w:rPr>
                <w:rFonts w:ascii="Calibri" w:hAnsi="Calibri" w:cs="Calibri"/>
                <w:b/>
                <w:bCs/>
                <w:kern w:val="0"/>
                <w:szCs w:val="24"/>
                <w:lang w:val="en-GB" w:eastAsia="en-GB"/>
              </w:rPr>
            </w:pPr>
            <w:r w:rsidRPr="00D31361">
              <w:rPr>
                <w:rFonts w:ascii="Calibri" w:hAnsi="Calibri" w:cs="Calibri"/>
                <w:b/>
                <w:bCs/>
                <w:kern w:val="0"/>
                <w:szCs w:val="24"/>
                <w:lang w:val="en-GB" w:eastAsia="en-GB"/>
              </w:rPr>
              <w:t>8938</w:t>
            </w:r>
          </w:p>
        </w:tc>
        <w:tc>
          <w:tcPr>
            <w:tcW w:w="740" w:type="dxa"/>
            <w:tcBorders>
              <w:top w:val="nil"/>
              <w:left w:val="nil"/>
              <w:bottom w:val="nil"/>
              <w:right w:val="nil"/>
            </w:tcBorders>
            <w:noWrap/>
            <w:vAlign w:val="bottom"/>
            <w:hideMark/>
          </w:tcPr>
          <w:p w14:paraId="3518862A" w14:textId="77777777" w:rsidR="0050707D" w:rsidRPr="00D31361" w:rsidRDefault="00000000" w:rsidP="00D31361">
            <w:pPr>
              <w:spacing w:after="0" w:line="360" w:lineRule="auto"/>
              <w:ind w:left="0" w:right="0" w:firstLine="0"/>
              <w:jc w:val="both"/>
              <w:rPr>
                <w:rFonts w:ascii="Calibri" w:hAnsi="Calibri" w:cs="Calibri"/>
                <w:b/>
                <w:bCs/>
                <w:kern w:val="0"/>
                <w:szCs w:val="24"/>
                <w:lang w:val="en-GB" w:eastAsia="en-GB"/>
              </w:rPr>
            </w:pPr>
            <w:r w:rsidRPr="00D31361">
              <w:rPr>
                <w:rFonts w:ascii="Calibri" w:hAnsi="Calibri" w:cs="Calibri"/>
                <w:b/>
                <w:bCs/>
                <w:kern w:val="0"/>
                <w:szCs w:val="24"/>
                <w:lang w:val="en-GB" w:eastAsia="en-GB"/>
              </w:rPr>
              <w:t>12961</w:t>
            </w:r>
          </w:p>
        </w:tc>
        <w:tc>
          <w:tcPr>
            <w:tcW w:w="1180" w:type="dxa"/>
            <w:tcBorders>
              <w:top w:val="nil"/>
              <w:left w:val="nil"/>
              <w:bottom w:val="nil"/>
              <w:right w:val="nil"/>
            </w:tcBorders>
            <w:noWrap/>
            <w:vAlign w:val="bottom"/>
            <w:hideMark/>
          </w:tcPr>
          <w:p w14:paraId="08DFC1DE" w14:textId="77777777" w:rsidR="0050707D" w:rsidRPr="00D31361" w:rsidRDefault="00000000" w:rsidP="00D31361">
            <w:pPr>
              <w:spacing w:after="0" w:line="360" w:lineRule="auto"/>
              <w:ind w:left="0" w:right="0" w:firstLine="0"/>
              <w:jc w:val="both"/>
              <w:rPr>
                <w:rFonts w:ascii="Calibri" w:hAnsi="Calibri" w:cs="Calibri"/>
                <w:b/>
                <w:bCs/>
                <w:kern w:val="0"/>
                <w:szCs w:val="24"/>
                <w:lang w:val="en-GB" w:eastAsia="en-GB"/>
              </w:rPr>
            </w:pPr>
            <w:r w:rsidRPr="00D31361">
              <w:rPr>
                <w:rFonts w:ascii="Calibri" w:hAnsi="Calibri" w:cs="Calibri"/>
                <w:b/>
                <w:bCs/>
                <w:kern w:val="0"/>
                <w:szCs w:val="24"/>
                <w:lang w:val="en-GB" w:eastAsia="en-GB"/>
              </w:rPr>
              <w:t>21899</w:t>
            </w:r>
          </w:p>
        </w:tc>
      </w:tr>
      <w:tr w:rsidR="00F22443" w:rsidRPr="00D31361" w14:paraId="451825F1" w14:textId="77777777" w:rsidTr="00B077C3">
        <w:trPr>
          <w:trHeight w:val="300"/>
          <w:jc w:val="center"/>
        </w:trPr>
        <w:tc>
          <w:tcPr>
            <w:tcW w:w="1720" w:type="dxa"/>
            <w:tcBorders>
              <w:top w:val="nil"/>
              <w:left w:val="nil"/>
              <w:bottom w:val="nil"/>
              <w:right w:val="nil"/>
            </w:tcBorders>
            <w:noWrap/>
            <w:vAlign w:val="bottom"/>
            <w:hideMark/>
          </w:tcPr>
          <w:p w14:paraId="75CE9DA6" w14:textId="77777777" w:rsidR="0050707D" w:rsidRPr="00D31361" w:rsidRDefault="00000000" w:rsidP="00D31361">
            <w:pPr>
              <w:spacing w:after="0" w:line="360" w:lineRule="auto"/>
              <w:ind w:left="0" w:right="0" w:firstLine="0"/>
              <w:jc w:val="both"/>
              <w:rPr>
                <w:rFonts w:ascii="Calibri" w:hAnsi="Calibri" w:cs="Calibri"/>
                <w:b/>
                <w:bCs/>
                <w:kern w:val="0"/>
                <w:szCs w:val="24"/>
                <w:lang w:val="en-GB" w:eastAsia="en-GB"/>
              </w:rPr>
            </w:pPr>
            <w:r w:rsidRPr="00D31361">
              <w:rPr>
                <w:rFonts w:ascii="Calibri" w:hAnsi="Calibri" w:cs="Calibri"/>
                <w:b/>
                <w:bCs/>
                <w:kern w:val="0"/>
                <w:szCs w:val="24"/>
                <w:lang w:val="en-GB" w:eastAsia="en-GB"/>
              </w:rPr>
              <w:t>2018</w:t>
            </w:r>
          </w:p>
        </w:tc>
        <w:tc>
          <w:tcPr>
            <w:tcW w:w="1720" w:type="dxa"/>
            <w:tcBorders>
              <w:top w:val="nil"/>
              <w:left w:val="nil"/>
              <w:bottom w:val="nil"/>
              <w:right w:val="nil"/>
            </w:tcBorders>
            <w:noWrap/>
            <w:vAlign w:val="bottom"/>
            <w:hideMark/>
          </w:tcPr>
          <w:p w14:paraId="1282D475" w14:textId="77777777" w:rsidR="0050707D" w:rsidRPr="00D31361" w:rsidRDefault="00000000" w:rsidP="00D31361">
            <w:pPr>
              <w:spacing w:after="0" w:line="360" w:lineRule="auto"/>
              <w:ind w:left="0" w:right="0" w:firstLine="0"/>
              <w:jc w:val="both"/>
              <w:rPr>
                <w:rFonts w:ascii="Calibri" w:hAnsi="Calibri" w:cs="Calibri"/>
                <w:b/>
                <w:bCs/>
                <w:kern w:val="0"/>
                <w:szCs w:val="24"/>
                <w:lang w:val="en-GB" w:eastAsia="en-GB"/>
              </w:rPr>
            </w:pPr>
            <w:r w:rsidRPr="00D31361">
              <w:rPr>
                <w:rFonts w:ascii="Calibri" w:hAnsi="Calibri" w:cs="Calibri"/>
                <w:b/>
                <w:bCs/>
                <w:kern w:val="0"/>
                <w:szCs w:val="24"/>
                <w:lang w:val="en-GB" w:eastAsia="en-GB"/>
              </w:rPr>
              <w:t>11886</w:t>
            </w:r>
          </w:p>
        </w:tc>
        <w:tc>
          <w:tcPr>
            <w:tcW w:w="740" w:type="dxa"/>
            <w:tcBorders>
              <w:top w:val="nil"/>
              <w:left w:val="nil"/>
              <w:bottom w:val="nil"/>
              <w:right w:val="nil"/>
            </w:tcBorders>
            <w:noWrap/>
            <w:vAlign w:val="bottom"/>
            <w:hideMark/>
          </w:tcPr>
          <w:p w14:paraId="401D3664" w14:textId="77777777" w:rsidR="0050707D" w:rsidRPr="00D31361" w:rsidRDefault="00000000" w:rsidP="00D31361">
            <w:pPr>
              <w:spacing w:after="0" w:line="360" w:lineRule="auto"/>
              <w:ind w:left="0" w:right="0" w:firstLine="0"/>
              <w:jc w:val="both"/>
              <w:rPr>
                <w:rFonts w:ascii="Calibri" w:hAnsi="Calibri" w:cs="Calibri"/>
                <w:b/>
                <w:bCs/>
                <w:kern w:val="0"/>
                <w:szCs w:val="24"/>
                <w:lang w:val="en-GB" w:eastAsia="en-GB"/>
              </w:rPr>
            </w:pPr>
            <w:r w:rsidRPr="00D31361">
              <w:rPr>
                <w:rFonts w:ascii="Calibri" w:hAnsi="Calibri" w:cs="Calibri"/>
                <w:b/>
                <w:bCs/>
                <w:kern w:val="0"/>
                <w:szCs w:val="24"/>
                <w:lang w:val="en-GB" w:eastAsia="en-GB"/>
              </w:rPr>
              <w:t>17817</w:t>
            </w:r>
          </w:p>
        </w:tc>
        <w:tc>
          <w:tcPr>
            <w:tcW w:w="1180" w:type="dxa"/>
            <w:tcBorders>
              <w:top w:val="nil"/>
              <w:left w:val="nil"/>
              <w:bottom w:val="nil"/>
              <w:right w:val="nil"/>
            </w:tcBorders>
            <w:noWrap/>
            <w:vAlign w:val="bottom"/>
            <w:hideMark/>
          </w:tcPr>
          <w:p w14:paraId="3BBC6269" w14:textId="77777777" w:rsidR="0050707D" w:rsidRPr="00D31361" w:rsidRDefault="00000000" w:rsidP="00D31361">
            <w:pPr>
              <w:spacing w:after="0" w:line="360" w:lineRule="auto"/>
              <w:ind w:left="0" w:right="0" w:firstLine="0"/>
              <w:jc w:val="both"/>
              <w:rPr>
                <w:rFonts w:ascii="Calibri" w:hAnsi="Calibri" w:cs="Calibri"/>
                <w:b/>
                <w:bCs/>
                <w:kern w:val="0"/>
                <w:szCs w:val="24"/>
                <w:lang w:val="en-GB" w:eastAsia="en-GB"/>
              </w:rPr>
            </w:pPr>
            <w:r w:rsidRPr="00D31361">
              <w:rPr>
                <w:rFonts w:ascii="Calibri" w:hAnsi="Calibri" w:cs="Calibri"/>
                <w:b/>
                <w:bCs/>
                <w:kern w:val="0"/>
                <w:szCs w:val="24"/>
                <w:lang w:val="en-GB" w:eastAsia="en-GB"/>
              </w:rPr>
              <w:t>29703</w:t>
            </w:r>
          </w:p>
        </w:tc>
      </w:tr>
      <w:tr w:rsidR="00F22443" w:rsidRPr="00D31361" w14:paraId="4BC42B94" w14:textId="77777777" w:rsidTr="00B077C3">
        <w:trPr>
          <w:trHeight w:val="300"/>
          <w:jc w:val="center"/>
        </w:trPr>
        <w:tc>
          <w:tcPr>
            <w:tcW w:w="1720" w:type="dxa"/>
            <w:tcBorders>
              <w:top w:val="nil"/>
              <w:left w:val="nil"/>
              <w:bottom w:val="nil"/>
              <w:right w:val="nil"/>
            </w:tcBorders>
            <w:noWrap/>
            <w:vAlign w:val="bottom"/>
            <w:hideMark/>
          </w:tcPr>
          <w:p w14:paraId="4A74798C" w14:textId="77777777" w:rsidR="0050707D" w:rsidRPr="00D31361" w:rsidRDefault="00000000" w:rsidP="00D31361">
            <w:pPr>
              <w:spacing w:after="0" w:line="360" w:lineRule="auto"/>
              <w:ind w:left="0" w:right="0" w:firstLine="0"/>
              <w:jc w:val="both"/>
              <w:rPr>
                <w:rFonts w:ascii="Calibri" w:hAnsi="Calibri" w:cs="Calibri"/>
                <w:b/>
                <w:bCs/>
                <w:kern w:val="0"/>
                <w:szCs w:val="24"/>
                <w:lang w:val="en-GB" w:eastAsia="en-GB"/>
              </w:rPr>
            </w:pPr>
            <w:r w:rsidRPr="00D31361">
              <w:rPr>
                <w:rFonts w:ascii="Calibri" w:hAnsi="Calibri" w:cs="Calibri"/>
                <w:b/>
                <w:bCs/>
                <w:kern w:val="0"/>
                <w:szCs w:val="24"/>
                <w:lang w:val="en-GB" w:eastAsia="en-GB"/>
              </w:rPr>
              <w:t>2019</w:t>
            </w:r>
          </w:p>
        </w:tc>
        <w:tc>
          <w:tcPr>
            <w:tcW w:w="1720" w:type="dxa"/>
            <w:tcBorders>
              <w:top w:val="nil"/>
              <w:left w:val="nil"/>
              <w:bottom w:val="nil"/>
              <w:right w:val="nil"/>
            </w:tcBorders>
            <w:noWrap/>
            <w:vAlign w:val="bottom"/>
            <w:hideMark/>
          </w:tcPr>
          <w:p w14:paraId="7167D862" w14:textId="77777777" w:rsidR="0050707D" w:rsidRPr="00D31361" w:rsidRDefault="00000000" w:rsidP="00D31361">
            <w:pPr>
              <w:spacing w:after="0" w:line="360" w:lineRule="auto"/>
              <w:ind w:left="0" w:right="0" w:firstLine="0"/>
              <w:jc w:val="both"/>
              <w:rPr>
                <w:rFonts w:ascii="Calibri" w:hAnsi="Calibri" w:cs="Calibri"/>
                <w:b/>
                <w:bCs/>
                <w:kern w:val="0"/>
                <w:szCs w:val="24"/>
                <w:lang w:val="en-GB" w:eastAsia="en-GB"/>
              </w:rPr>
            </w:pPr>
            <w:r w:rsidRPr="00D31361">
              <w:rPr>
                <w:rFonts w:ascii="Calibri" w:hAnsi="Calibri" w:cs="Calibri"/>
                <w:b/>
                <w:bCs/>
                <w:kern w:val="0"/>
                <w:szCs w:val="24"/>
                <w:lang w:val="en-GB" w:eastAsia="en-GB"/>
              </w:rPr>
              <w:t>14822</w:t>
            </w:r>
          </w:p>
        </w:tc>
        <w:tc>
          <w:tcPr>
            <w:tcW w:w="740" w:type="dxa"/>
            <w:tcBorders>
              <w:top w:val="nil"/>
              <w:left w:val="nil"/>
              <w:bottom w:val="nil"/>
              <w:right w:val="nil"/>
            </w:tcBorders>
            <w:noWrap/>
            <w:vAlign w:val="bottom"/>
            <w:hideMark/>
          </w:tcPr>
          <w:p w14:paraId="37E5105A" w14:textId="77777777" w:rsidR="0050707D" w:rsidRPr="00D31361" w:rsidRDefault="00000000" w:rsidP="00D31361">
            <w:pPr>
              <w:spacing w:after="0" w:line="360" w:lineRule="auto"/>
              <w:ind w:left="0" w:right="0" w:firstLine="0"/>
              <w:jc w:val="both"/>
              <w:rPr>
                <w:rFonts w:ascii="Calibri" w:hAnsi="Calibri" w:cs="Calibri"/>
                <w:b/>
                <w:bCs/>
                <w:kern w:val="0"/>
                <w:szCs w:val="24"/>
                <w:lang w:val="en-GB" w:eastAsia="en-GB"/>
              </w:rPr>
            </w:pPr>
            <w:r w:rsidRPr="00D31361">
              <w:rPr>
                <w:rFonts w:ascii="Calibri" w:hAnsi="Calibri" w:cs="Calibri"/>
                <w:b/>
                <w:bCs/>
                <w:kern w:val="0"/>
                <w:szCs w:val="24"/>
                <w:lang w:val="en-GB" w:eastAsia="en-GB"/>
              </w:rPr>
              <w:t>21618</w:t>
            </w:r>
          </w:p>
        </w:tc>
        <w:tc>
          <w:tcPr>
            <w:tcW w:w="1180" w:type="dxa"/>
            <w:tcBorders>
              <w:top w:val="nil"/>
              <w:left w:val="nil"/>
              <w:bottom w:val="nil"/>
              <w:right w:val="nil"/>
            </w:tcBorders>
            <w:noWrap/>
            <w:vAlign w:val="bottom"/>
            <w:hideMark/>
          </w:tcPr>
          <w:p w14:paraId="69B12422" w14:textId="77777777" w:rsidR="0050707D" w:rsidRPr="00D31361" w:rsidRDefault="00000000" w:rsidP="00D31361">
            <w:pPr>
              <w:spacing w:after="0" w:line="360" w:lineRule="auto"/>
              <w:ind w:left="0" w:right="0" w:firstLine="0"/>
              <w:jc w:val="both"/>
              <w:rPr>
                <w:rFonts w:ascii="Calibri" w:hAnsi="Calibri" w:cs="Calibri"/>
                <w:b/>
                <w:bCs/>
                <w:kern w:val="0"/>
                <w:szCs w:val="24"/>
                <w:lang w:val="en-GB" w:eastAsia="en-GB"/>
              </w:rPr>
            </w:pPr>
            <w:r w:rsidRPr="00D31361">
              <w:rPr>
                <w:rFonts w:ascii="Calibri" w:hAnsi="Calibri" w:cs="Calibri"/>
                <w:b/>
                <w:bCs/>
                <w:kern w:val="0"/>
                <w:szCs w:val="24"/>
                <w:lang w:val="en-GB" w:eastAsia="en-GB"/>
              </w:rPr>
              <w:t>36440</w:t>
            </w:r>
          </w:p>
        </w:tc>
      </w:tr>
      <w:tr w:rsidR="00F22443" w:rsidRPr="00D31361" w14:paraId="3C0416AF" w14:textId="77777777" w:rsidTr="00B077C3">
        <w:trPr>
          <w:trHeight w:val="300"/>
          <w:jc w:val="center"/>
        </w:trPr>
        <w:tc>
          <w:tcPr>
            <w:tcW w:w="1720" w:type="dxa"/>
            <w:tcBorders>
              <w:top w:val="nil"/>
              <w:left w:val="nil"/>
              <w:bottom w:val="nil"/>
              <w:right w:val="nil"/>
            </w:tcBorders>
            <w:noWrap/>
            <w:vAlign w:val="bottom"/>
            <w:hideMark/>
          </w:tcPr>
          <w:p w14:paraId="3FC8B6F0" w14:textId="77777777" w:rsidR="0050707D" w:rsidRPr="00D31361" w:rsidRDefault="00000000" w:rsidP="00D31361">
            <w:pPr>
              <w:spacing w:after="0" w:line="360" w:lineRule="auto"/>
              <w:ind w:left="0" w:right="0" w:firstLine="0"/>
              <w:jc w:val="both"/>
              <w:rPr>
                <w:rFonts w:ascii="Calibri" w:hAnsi="Calibri" w:cs="Calibri"/>
                <w:b/>
                <w:bCs/>
                <w:kern w:val="0"/>
                <w:szCs w:val="24"/>
                <w:lang w:val="en-GB" w:eastAsia="en-GB"/>
              </w:rPr>
            </w:pPr>
            <w:r w:rsidRPr="00D31361">
              <w:rPr>
                <w:rFonts w:ascii="Calibri" w:hAnsi="Calibri" w:cs="Calibri"/>
                <w:b/>
                <w:bCs/>
                <w:kern w:val="0"/>
                <w:szCs w:val="24"/>
                <w:lang w:val="en-GB" w:eastAsia="en-GB"/>
              </w:rPr>
              <w:t>2020</w:t>
            </w:r>
          </w:p>
        </w:tc>
        <w:tc>
          <w:tcPr>
            <w:tcW w:w="1720" w:type="dxa"/>
            <w:tcBorders>
              <w:top w:val="nil"/>
              <w:left w:val="nil"/>
              <w:bottom w:val="nil"/>
              <w:right w:val="nil"/>
            </w:tcBorders>
            <w:noWrap/>
            <w:vAlign w:val="bottom"/>
            <w:hideMark/>
          </w:tcPr>
          <w:p w14:paraId="121EFDCA" w14:textId="77777777" w:rsidR="0050707D" w:rsidRPr="00D31361" w:rsidRDefault="00000000" w:rsidP="00D31361">
            <w:pPr>
              <w:spacing w:after="0" w:line="360" w:lineRule="auto"/>
              <w:ind w:left="0" w:right="0" w:firstLine="0"/>
              <w:jc w:val="both"/>
              <w:rPr>
                <w:rFonts w:ascii="Calibri" w:hAnsi="Calibri" w:cs="Calibri"/>
                <w:b/>
                <w:bCs/>
                <w:kern w:val="0"/>
                <w:szCs w:val="24"/>
                <w:lang w:val="en-GB" w:eastAsia="en-GB"/>
              </w:rPr>
            </w:pPr>
            <w:r w:rsidRPr="00D31361">
              <w:rPr>
                <w:rFonts w:ascii="Calibri" w:hAnsi="Calibri" w:cs="Calibri"/>
                <w:b/>
                <w:bCs/>
                <w:kern w:val="0"/>
                <w:szCs w:val="24"/>
                <w:lang w:val="en-GB" w:eastAsia="en-GB"/>
              </w:rPr>
              <w:t>15702</w:t>
            </w:r>
          </w:p>
        </w:tc>
        <w:tc>
          <w:tcPr>
            <w:tcW w:w="740" w:type="dxa"/>
            <w:tcBorders>
              <w:top w:val="nil"/>
              <w:left w:val="nil"/>
              <w:bottom w:val="nil"/>
              <w:right w:val="nil"/>
            </w:tcBorders>
            <w:noWrap/>
            <w:vAlign w:val="bottom"/>
            <w:hideMark/>
          </w:tcPr>
          <w:p w14:paraId="49FAF7BD" w14:textId="77777777" w:rsidR="0050707D" w:rsidRPr="00D31361" w:rsidRDefault="00000000" w:rsidP="00D31361">
            <w:pPr>
              <w:spacing w:after="0" w:line="360" w:lineRule="auto"/>
              <w:ind w:left="0" w:right="0" w:firstLine="0"/>
              <w:jc w:val="both"/>
              <w:rPr>
                <w:rFonts w:ascii="Calibri" w:hAnsi="Calibri" w:cs="Calibri"/>
                <w:b/>
                <w:bCs/>
                <w:kern w:val="0"/>
                <w:szCs w:val="24"/>
                <w:lang w:val="en-GB" w:eastAsia="en-GB"/>
              </w:rPr>
            </w:pPr>
            <w:r w:rsidRPr="00D31361">
              <w:rPr>
                <w:rFonts w:ascii="Calibri" w:hAnsi="Calibri" w:cs="Calibri"/>
                <w:b/>
                <w:bCs/>
                <w:kern w:val="0"/>
                <w:szCs w:val="24"/>
                <w:lang w:val="en-GB" w:eastAsia="en-GB"/>
              </w:rPr>
              <w:t>23353</w:t>
            </w:r>
          </w:p>
        </w:tc>
        <w:tc>
          <w:tcPr>
            <w:tcW w:w="1180" w:type="dxa"/>
            <w:tcBorders>
              <w:top w:val="nil"/>
              <w:left w:val="nil"/>
              <w:bottom w:val="nil"/>
              <w:right w:val="nil"/>
            </w:tcBorders>
            <w:noWrap/>
            <w:vAlign w:val="bottom"/>
            <w:hideMark/>
          </w:tcPr>
          <w:p w14:paraId="3BFEE0D5" w14:textId="77777777" w:rsidR="0050707D" w:rsidRPr="00D31361" w:rsidRDefault="00000000" w:rsidP="00D31361">
            <w:pPr>
              <w:spacing w:after="0" w:line="360" w:lineRule="auto"/>
              <w:ind w:left="0" w:right="0" w:firstLine="0"/>
              <w:jc w:val="both"/>
              <w:rPr>
                <w:rFonts w:ascii="Calibri" w:hAnsi="Calibri" w:cs="Calibri"/>
                <w:b/>
                <w:bCs/>
                <w:kern w:val="0"/>
                <w:szCs w:val="24"/>
                <w:lang w:val="en-GB" w:eastAsia="en-GB"/>
              </w:rPr>
            </w:pPr>
            <w:r w:rsidRPr="00D31361">
              <w:rPr>
                <w:rFonts w:ascii="Calibri" w:hAnsi="Calibri" w:cs="Calibri"/>
                <w:b/>
                <w:bCs/>
                <w:kern w:val="0"/>
                <w:szCs w:val="24"/>
                <w:lang w:val="en-GB" w:eastAsia="en-GB"/>
              </w:rPr>
              <w:t>39055</w:t>
            </w:r>
          </w:p>
        </w:tc>
      </w:tr>
      <w:tr w:rsidR="00F22443" w:rsidRPr="00D31361" w14:paraId="1F18D600" w14:textId="77777777" w:rsidTr="00B077C3">
        <w:trPr>
          <w:trHeight w:val="300"/>
          <w:jc w:val="center"/>
        </w:trPr>
        <w:tc>
          <w:tcPr>
            <w:tcW w:w="1720" w:type="dxa"/>
            <w:tcBorders>
              <w:top w:val="nil"/>
              <w:left w:val="nil"/>
              <w:bottom w:val="nil"/>
              <w:right w:val="nil"/>
            </w:tcBorders>
            <w:noWrap/>
            <w:vAlign w:val="bottom"/>
            <w:hideMark/>
          </w:tcPr>
          <w:p w14:paraId="03E7001C" w14:textId="77777777" w:rsidR="0050707D" w:rsidRPr="00D31361" w:rsidRDefault="00000000" w:rsidP="00D31361">
            <w:pPr>
              <w:spacing w:after="0" w:line="360" w:lineRule="auto"/>
              <w:ind w:left="0" w:right="0" w:firstLine="0"/>
              <w:jc w:val="both"/>
              <w:rPr>
                <w:rFonts w:ascii="Calibri" w:hAnsi="Calibri" w:cs="Calibri"/>
                <w:b/>
                <w:bCs/>
                <w:kern w:val="0"/>
                <w:szCs w:val="24"/>
                <w:lang w:val="en-GB" w:eastAsia="en-GB"/>
              </w:rPr>
            </w:pPr>
            <w:r w:rsidRPr="00D31361">
              <w:rPr>
                <w:rFonts w:ascii="Calibri" w:hAnsi="Calibri" w:cs="Calibri"/>
                <w:b/>
                <w:bCs/>
                <w:kern w:val="0"/>
                <w:szCs w:val="24"/>
                <w:lang w:val="en-GB" w:eastAsia="en-GB"/>
              </w:rPr>
              <w:t>2021</w:t>
            </w:r>
          </w:p>
        </w:tc>
        <w:tc>
          <w:tcPr>
            <w:tcW w:w="1720" w:type="dxa"/>
            <w:tcBorders>
              <w:top w:val="nil"/>
              <w:left w:val="nil"/>
              <w:bottom w:val="nil"/>
              <w:right w:val="nil"/>
            </w:tcBorders>
            <w:noWrap/>
            <w:vAlign w:val="bottom"/>
            <w:hideMark/>
          </w:tcPr>
          <w:p w14:paraId="4FFBDF0E" w14:textId="77777777" w:rsidR="0050707D" w:rsidRPr="00D31361" w:rsidRDefault="00000000" w:rsidP="00D31361">
            <w:pPr>
              <w:spacing w:after="0" w:line="360" w:lineRule="auto"/>
              <w:ind w:left="0" w:right="0" w:firstLine="0"/>
              <w:jc w:val="both"/>
              <w:rPr>
                <w:rFonts w:ascii="Calibri" w:hAnsi="Calibri" w:cs="Calibri"/>
                <w:b/>
                <w:bCs/>
                <w:kern w:val="0"/>
                <w:szCs w:val="24"/>
                <w:lang w:val="en-GB" w:eastAsia="en-GB"/>
              </w:rPr>
            </w:pPr>
            <w:r w:rsidRPr="00D31361">
              <w:rPr>
                <w:rFonts w:ascii="Calibri" w:hAnsi="Calibri" w:cs="Calibri"/>
                <w:b/>
                <w:bCs/>
                <w:kern w:val="0"/>
                <w:szCs w:val="24"/>
                <w:lang w:val="en-GB" w:eastAsia="en-GB"/>
              </w:rPr>
              <w:t>14742</w:t>
            </w:r>
          </w:p>
        </w:tc>
        <w:tc>
          <w:tcPr>
            <w:tcW w:w="740" w:type="dxa"/>
            <w:tcBorders>
              <w:top w:val="nil"/>
              <w:left w:val="nil"/>
              <w:bottom w:val="nil"/>
              <w:right w:val="nil"/>
            </w:tcBorders>
            <w:noWrap/>
            <w:vAlign w:val="bottom"/>
            <w:hideMark/>
          </w:tcPr>
          <w:p w14:paraId="0CA8EE5C" w14:textId="77777777" w:rsidR="0050707D" w:rsidRPr="00D31361" w:rsidRDefault="00000000" w:rsidP="00D31361">
            <w:pPr>
              <w:spacing w:after="0" w:line="360" w:lineRule="auto"/>
              <w:ind w:left="0" w:right="0" w:firstLine="0"/>
              <w:jc w:val="both"/>
              <w:rPr>
                <w:rFonts w:ascii="Calibri" w:hAnsi="Calibri" w:cs="Calibri"/>
                <w:b/>
                <w:bCs/>
                <w:kern w:val="0"/>
                <w:szCs w:val="24"/>
                <w:lang w:val="en-GB" w:eastAsia="en-GB"/>
              </w:rPr>
            </w:pPr>
            <w:r w:rsidRPr="00D31361">
              <w:rPr>
                <w:rFonts w:ascii="Calibri" w:hAnsi="Calibri" w:cs="Calibri"/>
                <w:b/>
                <w:bCs/>
                <w:kern w:val="0"/>
                <w:szCs w:val="24"/>
                <w:lang w:val="en-GB" w:eastAsia="en-GB"/>
              </w:rPr>
              <w:t>20742</w:t>
            </w:r>
          </w:p>
        </w:tc>
        <w:tc>
          <w:tcPr>
            <w:tcW w:w="1180" w:type="dxa"/>
            <w:tcBorders>
              <w:top w:val="nil"/>
              <w:left w:val="nil"/>
              <w:bottom w:val="nil"/>
              <w:right w:val="nil"/>
            </w:tcBorders>
            <w:noWrap/>
            <w:vAlign w:val="bottom"/>
            <w:hideMark/>
          </w:tcPr>
          <w:p w14:paraId="47CD03D5" w14:textId="77777777" w:rsidR="0050707D" w:rsidRPr="00D31361" w:rsidRDefault="00000000" w:rsidP="00D31361">
            <w:pPr>
              <w:spacing w:after="0" w:line="360" w:lineRule="auto"/>
              <w:ind w:left="0" w:right="0" w:firstLine="0"/>
              <w:jc w:val="both"/>
              <w:rPr>
                <w:rFonts w:ascii="Calibri" w:hAnsi="Calibri" w:cs="Calibri"/>
                <w:b/>
                <w:bCs/>
                <w:kern w:val="0"/>
                <w:szCs w:val="24"/>
                <w:lang w:val="en-GB" w:eastAsia="en-GB"/>
              </w:rPr>
            </w:pPr>
            <w:r w:rsidRPr="00D31361">
              <w:rPr>
                <w:rFonts w:ascii="Calibri" w:hAnsi="Calibri" w:cs="Calibri"/>
                <w:b/>
                <w:bCs/>
                <w:kern w:val="0"/>
                <w:szCs w:val="24"/>
                <w:lang w:val="en-GB" w:eastAsia="en-GB"/>
              </w:rPr>
              <w:t>35484</w:t>
            </w:r>
          </w:p>
        </w:tc>
      </w:tr>
      <w:tr w:rsidR="00F22443" w:rsidRPr="00D31361" w14:paraId="5601439D" w14:textId="77777777" w:rsidTr="00B077C3">
        <w:trPr>
          <w:trHeight w:val="300"/>
          <w:jc w:val="center"/>
        </w:trPr>
        <w:tc>
          <w:tcPr>
            <w:tcW w:w="1720" w:type="dxa"/>
            <w:tcBorders>
              <w:top w:val="nil"/>
              <w:left w:val="nil"/>
              <w:bottom w:val="nil"/>
              <w:right w:val="nil"/>
            </w:tcBorders>
            <w:noWrap/>
            <w:vAlign w:val="bottom"/>
            <w:hideMark/>
          </w:tcPr>
          <w:p w14:paraId="16D68CC1" w14:textId="77777777" w:rsidR="0050707D" w:rsidRPr="00D31361" w:rsidRDefault="00000000" w:rsidP="00D31361">
            <w:pPr>
              <w:spacing w:after="0" w:line="360" w:lineRule="auto"/>
              <w:ind w:left="0" w:right="0" w:firstLine="0"/>
              <w:jc w:val="both"/>
              <w:rPr>
                <w:rFonts w:ascii="Calibri" w:hAnsi="Calibri" w:cs="Calibri"/>
                <w:b/>
                <w:bCs/>
                <w:kern w:val="0"/>
                <w:szCs w:val="24"/>
                <w:lang w:val="en-GB" w:eastAsia="en-GB"/>
              </w:rPr>
            </w:pPr>
            <w:r w:rsidRPr="00D31361">
              <w:rPr>
                <w:rFonts w:ascii="Calibri" w:hAnsi="Calibri" w:cs="Calibri"/>
                <w:b/>
                <w:bCs/>
                <w:kern w:val="0"/>
                <w:szCs w:val="24"/>
                <w:lang w:val="en-GB" w:eastAsia="en-GB"/>
              </w:rPr>
              <w:t>2022</w:t>
            </w:r>
          </w:p>
        </w:tc>
        <w:tc>
          <w:tcPr>
            <w:tcW w:w="1720" w:type="dxa"/>
            <w:tcBorders>
              <w:top w:val="nil"/>
              <w:left w:val="nil"/>
              <w:bottom w:val="nil"/>
              <w:right w:val="nil"/>
            </w:tcBorders>
            <w:noWrap/>
            <w:vAlign w:val="bottom"/>
            <w:hideMark/>
          </w:tcPr>
          <w:p w14:paraId="3FE277EB" w14:textId="77777777" w:rsidR="0050707D" w:rsidRPr="00D31361" w:rsidRDefault="00000000" w:rsidP="00D31361">
            <w:pPr>
              <w:spacing w:after="0" w:line="360" w:lineRule="auto"/>
              <w:ind w:left="0" w:right="0" w:firstLine="0"/>
              <w:jc w:val="both"/>
              <w:rPr>
                <w:rFonts w:ascii="Calibri" w:hAnsi="Calibri" w:cs="Calibri"/>
                <w:b/>
                <w:bCs/>
                <w:kern w:val="0"/>
                <w:szCs w:val="24"/>
                <w:lang w:val="en-GB" w:eastAsia="en-GB"/>
              </w:rPr>
            </w:pPr>
            <w:r w:rsidRPr="00D31361">
              <w:rPr>
                <w:rFonts w:ascii="Calibri" w:hAnsi="Calibri" w:cs="Calibri"/>
                <w:b/>
                <w:bCs/>
                <w:kern w:val="0"/>
                <w:szCs w:val="24"/>
                <w:lang w:val="en-GB" w:eastAsia="en-GB"/>
              </w:rPr>
              <w:t>17775</w:t>
            </w:r>
          </w:p>
        </w:tc>
        <w:tc>
          <w:tcPr>
            <w:tcW w:w="740" w:type="dxa"/>
            <w:tcBorders>
              <w:top w:val="nil"/>
              <w:left w:val="nil"/>
              <w:bottom w:val="nil"/>
              <w:right w:val="nil"/>
            </w:tcBorders>
            <w:noWrap/>
            <w:vAlign w:val="bottom"/>
            <w:hideMark/>
          </w:tcPr>
          <w:p w14:paraId="6E1F47DD" w14:textId="77777777" w:rsidR="0050707D" w:rsidRPr="00D31361" w:rsidRDefault="00000000" w:rsidP="00D31361">
            <w:pPr>
              <w:spacing w:after="0" w:line="360" w:lineRule="auto"/>
              <w:ind w:left="0" w:right="0" w:firstLine="0"/>
              <w:jc w:val="both"/>
              <w:rPr>
                <w:rFonts w:ascii="Calibri" w:hAnsi="Calibri" w:cs="Calibri"/>
                <w:b/>
                <w:bCs/>
                <w:kern w:val="0"/>
                <w:szCs w:val="24"/>
                <w:lang w:val="en-GB" w:eastAsia="en-GB"/>
              </w:rPr>
            </w:pPr>
            <w:r w:rsidRPr="00D31361">
              <w:rPr>
                <w:rFonts w:ascii="Calibri" w:hAnsi="Calibri" w:cs="Calibri"/>
                <w:b/>
                <w:bCs/>
                <w:kern w:val="0"/>
                <w:szCs w:val="24"/>
                <w:lang w:val="en-GB" w:eastAsia="en-GB"/>
              </w:rPr>
              <w:t>25668</w:t>
            </w:r>
          </w:p>
        </w:tc>
        <w:tc>
          <w:tcPr>
            <w:tcW w:w="1180" w:type="dxa"/>
            <w:tcBorders>
              <w:top w:val="nil"/>
              <w:left w:val="nil"/>
              <w:bottom w:val="nil"/>
              <w:right w:val="nil"/>
            </w:tcBorders>
            <w:noWrap/>
            <w:vAlign w:val="bottom"/>
            <w:hideMark/>
          </w:tcPr>
          <w:p w14:paraId="4114CCCA" w14:textId="77777777" w:rsidR="0050707D" w:rsidRPr="00D31361" w:rsidRDefault="00000000" w:rsidP="00D31361">
            <w:pPr>
              <w:spacing w:after="0" w:line="360" w:lineRule="auto"/>
              <w:ind w:left="0" w:right="0" w:firstLine="0"/>
              <w:jc w:val="both"/>
              <w:rPr>
                <w:rFonts w:ascii="Calibri" w:hAnsi="Calibri" w:cs="Calibri"/>
                <w:b/>
                <w:bCs/>
                <w:kern w:val="0"/>
                <w:szCs w:val="24"/>
                <w:lang w:val="en-GB" w:eastAsia="en-GB"/>
              </w:rPr>
            </w:pPr>
            <w:r w:rsidRPr="00D31361">
              <w:rPr>
                <w:rFonts w:ascii="Calibri" w:hAnsi="Calibri" w:cs="Calibri"/>
                <w:b/>
                <w:bCs/>
                <w:kern w:val="0"/>
                <w:szCs w:val="24"/>
                <w:lang w:val="en-GB" w:eastAsia="en-GB"/>
              </w:rPr>
              <w:t>43443</w:t>
            </w:r>
          </w:p>
        </w:tc>
      </w:tr>
      <w:tr w:rsidR="00F22443" w:rsidRPr="00D31361" w14:paraId="4A78EA4C" w14:textId="77777777" w:rsidTr="00B077C3">
        <w:trPr>
          <w:trHeight w:val="300"/>
          <w:jc w:val="center"/>
        </w:trPr>
        <w:tc>
          <w:tcPr>
            <w:tcW w:w="1720" w:type="dxa"/>
            <w:tcBorders>
              <w:top w:val="nil"/>
              <w:left w:val="nil"/>
              <w:bottom w:val="nil"/>
              <w:right w:val="nil"/>
            </w:tcBorders>
            <w:noWrap/>
            <w:vAlign w:val="bottom"/>
            <w:hideMark/>
          </w:tcPr>
          <w:p w14:paraId="098BBCE6" w14:textId="77777777" w:rsidR="0050707D" w:rsidRPr="00D31361" w:rsidRDefault="00000000" w:rsidP="00D31361">
            <w:pPr>
              <w:spacing w:after="0" w:line="360" w:lineRule="auto"/>
              <w:ind w:left="0" w:right="0" w:firstLine="0"/>
              <w:jc w:val="both"/>
              <w:rPr>
                <w:rFonts w:ascii="Calibri" w:hAnsi="Calibri" w:cs="Calibri"/>
                <w:b/>
                <w:bCs/>
                <w:kern w:val="0"/>
                <w:szCs w:val="24"/>
                <w:lang w:val="en-GB" w:eastAsia="en-GB"/>
              </w:rPr>
            </w:pPr>
            <w:r w:rsidRPr="00D31361">
              <w:rPr>
                <w:rFonts w:ascii="Calibri" w:hAnsi="Calibri" w:cs="Calibri"/>
                <w:b/>
                <w:bCs/>
                <w:kern w:val="0"/>
                <w:szCs w:val="24"/>
                <w:lang w:val="en-GB" w:eastAsia="en-GB"/>
              </w:rPr>
              <w:t>2023</w:t>
            </w:r>
          </w:p>
        </w:tc>
        <w:tc>
          <w:tcPr>
            <w:tcW w:w="1720" w:type="dxa"/>
            <w:tcBorders>
              <w:top w:val="nil"/>
              <w:left w:val="nil"/>
              <w:bottom w:val="nil"/>
              <w:right w:val="nil"/>
            </w:tcBorders>
            <w:noWrap/>
            <w:vAlign w:val="bottom"/>
            <w:hideMark/>
          </w:tcPr>
          <w:p w14:paraId="50DA7562" w14:textId="77777777" w:rsidR="0050707D" w:rsidRPr="00D31361" w:rsidRDefault="00000000" w:rsidP="00D31361">
            <w:pPr>
              <w:spacing w:after="0" w:line="360" w:lineRule="auto"/>
              <w:ind w:left="0" w:right="0" w:firstLine="0"/>
              <w:jc w:val="both"/>
              <w:rPr>
                <w:rFonts w:ascii="Calibri" w:hAnsi="Calibri" w:cs="Calibri"/>
                <w:b/>
                <w:bCs/>
                <w:kern w:val="0"/>
                <w:szCs w:val="24"/>
                <w:lang w:val="en-GB" w:eastAsia="en-GB"/>
              </w:rPr>
            </w:pPr>
            <w:r w:rsidRPr="00D31361">
              <w:rPr>
                <w:rFonts w:ascii="Calibri" w:hAnsi="Calibri" w:cs="Calibri"/>
                <w:b/>
                <w:bCs/>
                <w:kern w:val="0"/>
                <w:szCs w:val="24"/>
                <w:lang w:val="en-GB" w:eastAsia="en-GB"/>
              </w:rPr>
              <w:t>270</w:t>
            </w:r>
          </w:p>
        </w:tc>
        <w:tc>
          <w:tcPr>
            <w:tcW w:w="740" w:type="dxa"/>
            <w:tcBorders>
              <w:top w:val="nil"/>
              <w:left w:val="nil"/>
              <w:bottom w:val="nil"/>
              <w:right w:val="nil"/>
            </w:tcBorders>
            <w:noWrap/>
            <w:vAlign w:val="bottom"/>
            <w:hideMark/>
          </w:tcPr>
          <w:p w14:paraId="67D6026C" w14:textId="77777777" w:rsidR="0050707D" w:rsidRPr="00D31361" w:rsidRDefault="00000000" w:rsidP="00D31361">
            <w:pPr>
              <w:spacing w:after="0" w:line="360" w:lineRule="auto"/>
              <w:ind w:left="0" w:right="0" w:firstLine="0"/>
              <w:jc w:val="both"/>
              <w:rPr>
                <w:rFonts w:ascii="Calibri" w:hAnsi="Calibri" w:cs="Calibri"/>
                <w:b/>
                <w:bCs/>
                <w:kern w:val="0"/>
                <w:szCs w:val="24"/>
                <w:lang w:val="en-GB" w:eastAsia="en-GB"/>
              </w:rPr>
            </w:pPr>
            <w:r w:rsidRPr="00D31361">
              <w:rPr>
                <w:rFonts w:ascii="Calibri" w:hAnsi="Calibri" w:cs="Calibri"/>
                <w:b/>
                <w:bCs/>
                <w:kern w:val="0"/>
                <w:szCs w:val="24"/>
                <w:lang w:val="en-GB" w:eastAsia="en-GB"/>
              </w:rPr>
              <w:t>418</w:t>
            </w:r>
          </w:p>
        </w:tc>
        <w:tc>
          <w:tcPr>
            <w:tcW w:w="1180" w:type="dxa"/>
            <w:tcBorders>
              <w:top w:val="nil"/>
              <w:left w:val="nil"/>
              <w:bottom w:val="nil"/>
              <w:right w:val="nil"/>
            </w:tcBorders>
            <w:noWrap/>
            <w:vAlign w:val="bottom"/>
            <w:hideMark/>
          </w:tcPr>
          <w:p w14:paraId="1827D090" w14:textId="77777777" w:rsidR="0050707D" w:rsidRPr="00D31361" w:rsidRDefault="00000000" w:rsidP="00D31361">
            <w:pPr>
              <w:spacing w:after="0" w:line="360" w:lineRule="auto"/>
              <w:ind w:left="0" w:right="0" w:firstLine="0"/>
              <w:jc w:val="both"/>
              <w:rPr>
                <w:rFonts w:ascii="Calibri" w:hAnsi="Calibri" w:cs="Calibri"/>
                <w:b/>
                <w:bCs/>
                <w:kern w:val="0"/>
                <w:szCs w:val="24"/>
                <w:lang w:val="en-GB" w:eastAsia="en-GB"/>
              </w:rPr>
            </w:pPr>
            <w:r w:rsidRPr="00D31361">
              <w:rPr>
                <w:rFonts w:ascii="Calibri" w:hAnsi="Calibri" w:cs="Calibri"/>
                <w:b/>
                <w:bCs/>
                <w:kern w:val="0"/>
                <w:szCs w:val="24"/>
                <w:lang w:val="en-GB" w:eastAsia="en-GB"/>
              </w:rPr>
              <w:t>688</w:t>
            </w:r>
          </w:p>
        </w:tc>
      </w:tr>
      <w:tr w:rsidR="00F22443" w:rsidRPr="00D31361" w14:paraId="5DAAA0E7" w14:textId="77777777" w:rsidTr="00B077C3">
        <w:trPr>
          <w:trHeight w:val="300"/>
          <w:jc w:val="center"/>
        </w:trPr>
        <w:tc>
          <w:tcPr>
            <w:tcW w:w="1720" w:type="dxa"/>
            <w:tcBorders>
              <w:top w:val="nil"/>
              <w:left w:val="nil"/>
              <w:bottom w:val="nil"/>
              <w:right w:val="nil"/>
            </w:tcBorders>
            <w:shd w:val="clear" w:color="D9E1F2" w:fill="D9E1F2"/>
            <w:noWrap/>
            <w:vAlign w:val="bottom"/>
            <w:hideMark/>
          </w:tcPr>
          <w:p w14:paraId="1BC1321D" w14:textId="77777777" w:rsidR="0050707D" w:rsidRPr="00D31361" w:rsidRDefault="00000000" w:rsidP="00D31361">
            <w:pPr>
              <w:spacing w:after="0" w:line="360" w:lineRule="auto"/>
              <w:ind w:left="0" w:right="0" w:firstLine="0"/>
              <w:jc w:val="both"/>
              <w:rPr>
                <w:rFonts w:ascii="Calibri" w:hAnsi="Calibri" w:cs="Calibri"/>
                <w:b/>
                <w:bCs/>
                <w:kern w:val="0"/>
                <w:szCs w:val="24"/>
                <w:lang w:val="en-GB" w:eastAsia="en-GB"/>
              </w:rPr>
            </w:pPr>
            <w:r w:rsidRPr="00D31361">
              <w:rPr>
                <w:rFonts w:ascii="Calibri" w:hAnsi="Calibri" w:cs="Calibri"/>
                <w:b/>
                <w:bCs/>
                <w:kern w:val="0"/>
                <w:szCs w:val="24"/>
                <w:lang w:val="en-GB" w:eastAsia="en-GB"/>
              </w:rPr>
              <w:t>Grand Total</w:t>
            </w:r>
          </w:p>
        </w:tc>
        <w:tc>
          <w:tcPr>
            <w:tcW w:w="1720" w:type="dxa"/>
            <w:tcBorders>
              <w:top w:val="nil"/>
              <w:left w:val="nil"/>
              <w:bottom w:val="nil"/>
              <w:right w:val="nil"/>
            </w:tcBorders>
            <w:shd w:val="clear" w:color="D9E1F2" w:fill="D9E1F2"/>
            <w:noWrap/>
            <w:vAlign w:val="bottom"/>
            <w:hideMark/>
          </w:tcPr>
          <w:p w14:paraId="5DAC4778" w14:textId="77777777" w:rsidR="0050707D" w:rsidRPr="00D31361" w:rsidRDefault="00000000" w:rsidP="00D31361">
            <w:pPr>
              <w:spacing w:after="0" w:line="360" w:lineRule="auto"/>
              <w:ind w:left="0" w:right="0" w:firstLine="0"/>
              <w:jc w:val="both"/>
              <w:rPr>
                <w:rFonts w:ascii="Calibri" w:hAnsi="Calibri" w:cs="Calibri"/>
                <w:b/>
                <w:bCs/>
                <w:kern w:val="0"/>
                <w:szCs w:val="24"/>
                <w:lang w:val="en-GB" w:eastAsia="en-GB"/>
              </w:rPr>
            </w:pPr>
            <w:r w:rsidRPr="00D31361">
              <w:rPr>
                <w:rFonts w:ascii="Calibri" w:hAnsi="Calibri" w:cs="Calibri"/>
                <w:b/>
                <w:bCs/>
                <w:kern w:val="0"/>
                <w:szCs w:val="24"/>
                <w:lang w:val="en-GB" w:eastAsia="en-GB"/>
              </w:rPr>
              <w:t>107948</w:t>
            </w:r>
          </w:p>
        </w:tc>
        <w:tc>
          <w:tcPr>
            <w:tcW w:w="740" w:type="dxa"/>
            <w:tcBorders>
              <w:top w:val="nil"/>
              <w:left w:val="nil"/>
              <w:bottom w:val="nil"/>
              <w:right w:val="nil"/>
            </w:tcBorders>
            <w:shd w:val="clear" w:color="D9E1F2" w:fill="D9E1F2"/>
            <w:noWrap/>
            <w:vAlign w:val="bottom"/>
            <w:hideMark/>
          </w:tcPr>
          <w:p w14:paraId="353EA4A1" w14:textId="77777777" w:rsidR="0050707D" w:rsidRPr="00D31361" w:rsidRDefault="00000000" w:rsidP="00D31361">
            <w:pPr>
              <w:spacing w:after="0" w:line="360" w:lineRule="auto"/>
              <w:ind w:left="0" w:right="0" w:firstLine="0"/>
              <w:jc w:val="both"/>
              <w:rPr>
                <w:rFonts w:ascii="Calibri" w:hAnsi="Calibri" w:cs="Calibri"/>
                <w:b/>
                <w:bCs/>
                <w:kern w:val="0"/>
                <w:szCs w:val="24"/>
                <w:lang w:val="en-GB" w:eastAsia="en-GB"/>
              </w:rPr>
            </w:pPr>
            <w:r w:rsidRPr="00D31361">
              <w:rPr>
                <w:rFonts w:ascii="Calibri" w:hAnsi="Calibri" w:cs="Calibri"/>
                <w:b/>
                <w:bCs/>
                <w:kern w:val="0"/>
                <w:szCs w:val="24"/>
                <w:lang w:val="en-GB" w:eastAsia="en-GB"/>
              </w:rPr>
              <w:t>156635</w:t>
            </w:r>
          </w:p>
        </w:tc>
        <w:tc>
          <w:tcPr>
            <w:tcW w:w="1180" w:type="dxa"/>
            <w:tcBorders>
              <w:top w:val="nil"/>
              <w:left w:val="nil"/>
              <w:bottom w:val="nil"/>
              <w:right w:val="nil"/>
            </w:tcBorders>
            <w:shd w:val="clear" w:color="D9E1F2" w:fill="D9E1F2"/>
            <w:noWrap/>
            <w:vAlign w:val="bottom"/>
            <w:hideMark/>
          </w:tcPr>
          <w:p w14:paraId="3F3E8CC1" w14:textId="77777777" w:rsidR="0050707D" w:rsidRPr="00D31361" w:rsidRDefault="00000000" w:rsidP="00D31361">
            <w:pPr>
              <w:spacing w:after="0" w:line="360" w:lineRule="auto"/>
              <w:ind w:left="0" w:right="0" w:firstLine="0"/>
              <w:jc w:val="both"/>
              <w:rPr>
                <w:rFonts w:ascii="Calibri" w:hAnsi="Calibri" w:cs="Calibri"/>
                <w:b/>
                <w:bCs/>
                <w:kern w:val="0"/>
                <w:szCs w:val="24"/>
                <w:lang w:val="en-GB" w:eastAsia="en-GB"/>
              </w:rPr>
            </w:pPr>
            <w:r w:rsidRPr="00D31361">
              <w:rPr>
                <w:rFonts w:ascii="Calibri" w:hAnsi="Calibri" w:cs="Calibri"/>
                <w:b/>
                <w:bCs/>
                <w:kern w:val="0"/>
                <w:szCs w:val="24"/>
                <w:lang w:val="en-GB" w:eastAsia="en-GB"/>
              </w:rPr>
              <w:t>264583</w:t>
            </w:r>
          </w:p>
        </w:tc>
      </w:tr>
    </w:tbl>
    <w:p w14:paraId="75EBA11F" w14:textId="77777777" w:rsidR="00543124" w:rsidRPr="00D31361" w:rsidRDefault="00000000" w:rsidP="00D31361">
      <w:pPr>
        <w:spacing w:after="202" w:line="360" w:lineRule="auto"/>
        <w:ind w:left="0" w:right="0" w:firstLine="0"/>
        <w:jc w:val="center"/>
        <w:rPr>
          <w:rFonts w:ascii="Calibri" w:hAnsi="Calibri" w:cs="Calibri"/>
          <w:bCs/>
          <w:szCs w:val="24"/>
        </w:rPr>
      </w:pPr>
      <w:r w:rsidRPr="00D31361">
        <w:rPr>
          <w:rFonts w:ascii="Calibri" w:hAnsi="Calibri" w:cs="Calibri"/>
          <w:bCs/>
          <w:szCs w:val="24"/>
        </w:rPr>
        <w:t>Table</w:t>
      </w:r>
      <w:r w:rsidR="002652FB" w:rsidRPr="00D31361">
        <w:rPr>
          <w:rFonts w:ascii="Calibri" w:hAnsi="Calibri" w:cs="Calibri"/>
          <w:bCs/>
          <w:szCs w:val="24"/>
        </w:rPr>
        <w:t xml:space="preserve"> </w:t>
      </w:r>
      <w:r w:rsidRPr="00D31361">
        <w:rPr>
          <w:rFonts w:ascii="Calibri" w:hAnsi="Calibri" w:cs="Calibri"/>
          <w:bCs/>
          <w:szCs w:val="24"/>
        </w:rPr>
        <w:t>1 shows the total occurrence of Malaria by sex between 2015 and 2023</w:t>
      </w:r>
      <w:r w:rsidR="00F463FA" w:rsidRPr="00D31361">
        <w:rPr>
          <w:rFonts w:ascii="Calibri" w:hAnsi="Calibri" w:cs="Calibri"/>
          <w:bCs/>
          <w:szCs w:val="24"/>
        </w:rPr>
        <w:t>.</w:t>
      </w:r>
    </w:p>
    <w:p w14:paraId="6B910EFB" w14:textId="77777777" w:rsidR="00C72AF9" w:rsidRPr="00D31361" w:rsidRDefault="00000000" w:rsidP="001E38E2">
      <w:pPr>
        <w:spacing w:after="202" w:line="360" w:lineRule="auto"/>
        <w:ind w:left="0" w:right="0" w:firstLine="720"/>
        <w:jc w:val="both"/>
        <w:rPr>
          <w:rFonts w:ascii="Calibri" w:hAnsi="Calibri" w:cs="Calibri"/>
          <w:bCs/>
          <w:szCs w:val="24"/>
        </w:rPr>
      </w:pPr>
      <w:r w:rsidRPr="00D31361">
        <w:rPr>
          <w:rFonts w:ascii="Calibri" w:hAnsi="Calibri" w:cs="Calibri"/>
          <w:bCs/>
          <w:szCs w:val="24"/>
        </w:rPr>
        <w:t xml:space="preserve">A total of 264,583 cases of Malaria </w:t>
      </w:r>
      <w:r w:rsidR="00F463FA" w:rsidRPr="00D31361">
        <w:rPr>
          <w:rFonts w:ascii="Calibri" w:hAnsi="Calibri" w:cs="Calibri"/>
          <w:bCs/>
          <w:szCs w:val="24"/>
        </w:rPr>
        <w:t>were</w:t>
      </w:r>
      <w:r w:rsidRPr="00D31361">
        <w:rPr>
          <w:rFonts w:ascii="Calibri" w:hAnsi="Calibri" w:cs="Calibri"/>
          <w:bCs/>
          <w:szCs w:val="24"/>
        </w:rPr>
        <w:t xml:space="preserve"> reported, with more cases reported in males than females. Notably, there was a decline in the number of cases recorded in 2017, followed by a rise in cases in 2018. A </w:t>
      </w:r>
      <w:r w:rsidR="00F463FA" w:rsidRPr="00D31361">
        <w:rPr>
          <w:rFonts w:ascii="Calibri" w:hAnsi="Calibri" w:cs="Calibri"/>
          <w:bCs/>
          <w:szCs w:val="24"/>
        </w:rPr>
        <w:t>year-by-year</w:t>
      </w:r>
      <w:r w:rsidRPr="00D31361">
        <w:rPr>
          <w:rFonts w:ascii="Calibri" w:hAnsi="Calibri" w:cs="Calibri"/>
          <w:bCs/>
          <w:szCs w:val="24"/>
        </w:rPr>
        <w:t xml:space="preserve"> analysis also revealed more yearly cases in ma</w:t>
      </w:r>
      <w:r w:rsidR="003661E1" w:rsidRPr="00D31361">
        <w:rPr>
          <w:rFonts w:ascii="Calibri" w:hAnsi="Calibri" w:cs="Calibri"/>
          <w:bCs/>
          <w:szCs w:val="24"/>
        </w:rPr>
        <w:t>les than females, while 2022 recorded the highest number of cases of Malaria in Colombia between 2015 and 2023.</w:t>
      </w:r>
    </w:p>
    <w:p w14:paraId="36F8A29A" w14:textId="77777777" w:rsidR="00C72AF9" w:rsidRPr="00D31361" w:rsidRDefault="00000000" w:rsidP="00D31361">
      <w:pPr>
        <w:spacing w:after="160" w:line="360" w:lineRule="auto"/>
        <w:ind w:left="0" w:right="0" w:firstLine="0"/>
        <w:jc w:val="both"/>
        <w:rPr>
          <w:rFonts w:ascii="Calibri" w:hAnsi="Calibri" w:cs="Calibri"/>
          <w:bCs/>
          <w:szCs w:val="24"/>
        </w:rPr>
      </w:pPr>
      <w:r w:rsidRPr="00D31361">
        <w:rPr>
          <w:rFonts w:ascii="Calibri" w:hAnsi="Calibri" w:cs="Calibri"/>
          <w:bCs/>
          <w:szCs w:val="24"/>
        </w:rPr>
        <w:br w:type="page"/>
      </w:r>
    </w:p>
    <w:p w14:paraId="7B82CBAD" w14:textId="77777777" w:rsidR="002C6468" w:rsidRPr="00D31361" w:rsidRDefault="00000000" w:rsidP="00D31361">
      <w:pPr>
        <w:spacing w:after="202" w:line="360" w:lineRule="auto"/>
        <w:ind w:left="0" w:right="0" w:firstLine="0"/>
        <w:jc w:val="both"/>
        <w:rPr>
          <w:rFonts w:ascii="Calibri" w:hAnsi="Calibri" w:cs="Calibri"/>
          <w:b/>
          <w:bCs/>
          <w:szCs w:val="24"/>
        </w:rPr>
      </w:pPr>
      <w:r w:rsidRPr="00D31361">
        <w:rPr>
          <w:rFonts w:ascii="Calibri" w:hAnsi="Calibri" w:cs="Calibri"/>
          <w:b/>
          <w:bCs/>
          <w:szCs w:val="24"/>
        </w:rPr>
        <w:lastRenderedPageBreak/>
        <w:t>Cases by Social Security</w:t>
      </w:r>
    </w:p>
    <w:p w14:paraId="63CCB4F7" w14:textId="77777777" w:rsidR="00A93494" w:rsidRPr="00D31361" w:rsidRDefault="00000000" w:rsidP="00D31361">
      <w:pPr>
        <w:spacing w:after="202" w:line="360" w:lineRule="auto"/>
        <w:ind w:left="0" w:right="0" w:firstLine="0"/>
        <w:jc w:val="center"/>
        <w:rPr>
          <w:rFonts w:ascii="Calibri" w:hAnsi="Calibri" w:cs="Calibri"/>
          <w:bCs/>
          <w:szCs w:val="24"/>
        </w:rPr>
      </w:pPr>
      <w:r w:rsidRPr="00D31361">
        <w:rPr>
          <w:rFonts w:ascii="Calibri" w:hAnsi="Calibri" w:cs="Calibri"/>
          <w:noProof/>
          <w:szCs w:val="24"/>
        </w:rPr>
        <w:drawing>
          <wp:inline distT="0" distB="0" distL="0" distR="0" wp14:anchorId="4F109419" wp14:editId="4A0E66D0">
            <wp:extent cx="5340350" cy="2609850"/>
            <wp:effectExtent l="0" t="0" r="6350" b="6350"/>
            <wp:docPr id="1138549988" name="Gráfico 1">
              <a:extLst xmlns:a="http://schemas.openxmlformats.org/drawingml/2006/main">
                <a:ext uri="{FF2B5EF4-FFF2-40B4-BE49-F238E27FC236}">
                  <a16:creationId xmlns:a16="http://schemas.microsoft.com/office/drawing/2014/main" id="{8BC57636-F2F4-4219-AC00-E3B8C351AC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F475128" w14:textId="77777777" w:rsidR="002C6468" w:rsidRPr="00D31361" w:rsidRDefault="00000000" w:rsidP="00D31361">
      <w:pPr>
        <w:spacing w:after="202" w:line="360" w:lineRule="auto"/>
        <w:ind w:left="0" w:right="0" w:firstLine="0"/>
        <w:jc w:val="center"/>
        <w:rPr>
          <w:rFonts w:ascii="Calibri" w:hAnsi="Calibri" w:cs="Calibri"/>
          <w:bCs/>
          <w:szCs w:val="24"/>
        </w:rPr>
      </w:pPr>
      <w:r w:rsidRPr="00D31361">
        <w:rPr>
          <w:rFonts w:ascii="Calibri" w:hAnsi="Calibri" w:cs="Calibri"/>
          <w:bCs/>
          <w:szCs w:val="24"/>
        </w:rPr>
        <w:t>Chart</w:t>
      </w:r>
      <w:r w:rsidR="002652FB" w:rsidRPr="00D31361">
        <w:rPr>
          <w:rFonts w:ascii="Calibri" w:hAnsi="Calibri" w:cs="Calibri"/>
          <w:bCs/>
          <w:szCs w:val="24"/>
        </w:rPr>
        <w:t xml:space="preserve"> </w:t>
      </w:r>
      <w:r w:rsidRPr="00D31361">
        <w:rPr>
          <w:rFonts w:ascii="Calibri" w:hAnsi="Calibri" w:cs="Calibri"/>
          <w:bCs/>
          <w:szCs w:val="24"/>
        </w:rPr>
        <w:t>1: Visual representation of cases by social security</w:t>
      </w:r>
      <w:r w:rsidR="002652FB" w:rsidRPr="00D31361">
        <w:rPr>
          <w:rFonts w:ascii="Calibri" w:hAnsi="Calibri" w:cs="Calibri"/>
          <w:bCs/>
          <w:szCs w:val="24"/>
        </w:rPr>
        <w:t>.</w:t>
      </w:r>
    </w:p>
    <w:p w14:paraId="2E0134D0" w14:textId="77777777" w:rsidR="002C6468" w:rsidRPr="00D31361" w:rsidRDefault="002C6468" w:rsidP="00D31361">
      <w:pPr>
        <w:spacing w:after="0" w:line="360" w:lineRule="auto"/>
        <w:ind w:left="0" w:right="0" w:firstLine="0"/>
        <w:jc w:val="both"/>
        <w:rPr>
          <w:rFonts w:ascii="Calibri" w:hAnsi="Calibri" w:cs="Calibri"/>
          <w:bCs/>
          <w:szCs w:val="24"/>
        </w:rPr>
      </w:pPr>
    </w:p>
    <w:p w14:paraId="7F53DBC3" w14:textId="77777777" w:rsidR="00334DEC" w:rsidRPr="00D31361" w:rsidRDefault="00000000" w:rsidP="00D31361">
      <w:pPr>
        <w:spacing w:after="0" w:line="360" w:lineRule="auto"/>
        <w:ind w:left="0" w:right="0" w:firstLine="720"/>
        <w:jc w:val="both"/>
        <w:rPr>
          <w:rFonts w:ascii="Calibri" w:hAnsi="Calibri" w:cs="Calibri"/>
          <w:bCs/>
          <w:szCs w:val="24"/>
        </w:rPr>
      </w:pPr>
      <w:r w:rsidRPr="00D31361">
        <w:rPr>
          <w:rFonts w:ascii="Calibri" w:hAnsi="Calibri" w:cs="Calibri"/>
          <w:bCs/>
          <w:szCs w:val="24"/>
        </w:rPr>
        <w:t xml:space="preserve">The </w:t>
      </w:r>
      <w:r w:rsidR="001A491F" w:rsidRPr="00D31361">
        <w:rPr>
          <w:rFonts w:ascii="Calibri" w:hAnsi="Calibri" w:cs="Calibri"/>
          <w:bCs/>
          <w:szCs w:val="24"/>
        </w:rPr>
        <w:t xml:space="preserve">stacked column chart above shows the yearly distribution of cases among individuals in different social security classes. </w:t>
      </w:r>
      <w:r w:rsidR="00AD71D5" w:rsidRPr="00D31361">
        <w:rPr>
          <w:rFonts w:ascii="Calibri" w:hAnsi="Calibri" w:cs="Calibri"/>
          <w:bCs/>
          <w:szCs w:val="24"/>
        </w:rPr>
        <w:t>S refers to sub</w:t>
      </w:r>
      <w:r w:rsidRPr="00D31361">
        <w:rPr>
          <w:rFonts w:ascii="Calibri" w:hAnsi="Calibri" w:cs="Calibri"/>
          <w:bCs/>
          <w:szCs w:val="24"/>
        </w:rPr>
        <w:t xml:space="preserve">sidized people, </w:t>
      </w:r>
      <w:r w:rsidR="000A4FC0" w:rsidRPr="00D31361">
        <w:rPr>
          <w:rFonts w:ascii="Calibri" w:hAnsi="Calibri" w:cs="Calibri"/>
          <w:bCs/>
          <w:szCs w:val="24"/>
        </w:rPr>
        <w:t xml:space="preserve">P </w:t>
      </w:r>
      <w:r w:rsidR="00D61A86" w:rsidRPr="00D31361">
        <w:rPr>
          <w:rFonts w:ascii="Calibri" w:hAnsi="Calibri" w:cs="Calibri"/>
          <w:bCs/>
          <w:szCs w:val="24"/>
        </w:rPr>
        <w:t xml:space="preserve">shows </w:t>
      </w:r>
      <w:r w:rsidR="0026547B" w:rsidRPr="00D31361">
        <w:rPr>
          <w:rFonts w:ascii="Calibri" w:hAnsi="Calibri" w:cs="Calibri"/>
          <w:bCs/>
          <w:szCs w:val="24"/>
        </w:rPr>
        <w:t xml:space="preserve">the </w:t>
      </w:r>
      <w:r w:rsidR="00D61A86" w:rsidRPr="00D31361">
        <w:rPr>
          <w:rFonts w:ascii="Calibri" w:hAnsi="Calibri" w:cs="Calibri"/>
          <w:bCs/>
          <w:szCs w:val="24"/>
        </w:rPr>
        <w:t xml:space="preserve">retired population, N </w:t>
      </w:r>
      <w:r w:rsidR="0075344A" w:rsidRPr="00D31361">
        <w:rPr>
          <w:rFonts w:ascii="Calibri" w:hAnsi="Calibri" w:cs="Calibri"/>
          <w:bCs/>
          <w:szCs w:val="24"/>
        </w:rPr>
        <w:t>for not covered</w:t>
      </w:r>
      <w:r w:rsidR="00D61A86" w:rsidRPr="00D31361">
        <w:rPr>
          <w:rFonts w:ascii="Calibri" w:hAnsi="Calibri" w:cs="Calibri"/>
          <w:bCs/>
          <w:szCs w:val="24"/>
        </w:rPr>
        <w:t xml:space="preserve">, I </w:t>
      </w:r>
      <w:r w:rsidR="00312674" w:rsidRPr="00D31361">
        <w:rPr>
          <w:rFonts w:ascii="Calibri" w:hAnsi="Calibri" w:cs="Calibri"/>
          <w:bCs/>
          <w:szCs w:val="24"/>
        </w:rPr>
        <w:t>for unknown status</w:t>
      </w:r>
      <w:r w:rsidR="00D61A86" w:rsidRPr="00D31361">
        <w:rPr>
          <w:rFonts w:ascii="Calibri" w:hAnsi="Calibri" w:cs="Calibri"/>
          <w:bCs/>
          <w:szCs w:val="24"/>
        </w:rPr>
        <w:t xml:space="preserve">, </w:t>
      </w:r>
      <w:r w:rsidR="00312674" w:rsidRPr="00D31361">
        <w:rPr>
          <w:rFonts w:ascii="Calibri" w:hAnsi="Calibri" w:cs="Calibri"/>
          <w:bCs/>
          <w:szCs w:val="24"/>
        </w:rPr>
        <w:t xml:space="preserve">E for a particular category that includes </w:t>
      </w:r>
      <w:r w:rsidR="001120AA" w:rsidRPr="00D31361">
        <w:rPr>
          <w:rFonts w:ascii="Calibri" w:hAnsi="Calibri" w:cs="Calibri"/>
          <w:bCs/>
          <w:szCs w:val="24"/>
        </w:rPr>
        <w:t>military, police officers, and public teachers</w:t>
      </w:r>
      <w:r w:rsidR="00A228BB" w:rsidRPr="00D31361">
        <w:rPr>
          <w:rFonts w:ascii="Calibri" w:hAnsi="Calibri" w:cs="Calibri"/>
          <w:bCs/>
          <w:szCs w:val="24"/>
        </w:rPr>
        <w:t xml:space="preserve">, and C for Contributory, the working </w:t>
      </w:r>
      <w:r w:rsidR="0026547B" w:rsidRPr="00D31361">
        <w:rPr>
          <w:rFonts w:ascii="Calibri" w:hAnsi="Calibri" w:cs="Calibri"/>
          <w:bCs/>
          <w:szCs w:val="24"/>
        </w:rPr>
        <w:t>Colombians</w:t>
      </w:r>
      <w:r w:rsidR="00852B66" w:rsidRPr="00D31361">
        <w:rPr>
          <w:rFonts w:ascii="Calibri" w:hAnsi="Calibri" w:cs="Calibri"/>
          <w:bCs/>
          <w:szCs w:val="24"/>
        </w:rPr>
        <w:t>.</w:t>
      </w:r>
    </w:p>
    <w:p w14:paraId="4F22BDA0" w14:textId="77777777" w:rsidR="002C6468" w:rsidRPr="00D31361" w:rsidRDefault="00000000" w:rsidP="00D31361">
      <w:pPr>
        <w:spacing w:after="0" w:line="360" w:lineRule="auto"/>
        <w:ind w:left="0" w:right="0" w:firstLine="720"/>
        <w:jc w:val="both"/>
        <w:rPr>
          <w:rFonts w:ascii="Calibri" w:hAnsi="Calibri" w:cs="Calibri"/>
          <w:bCs/>
          <w:szCs w:val="24"/>
        </w:rPr>
      </w:pPr>
      <w:r w:rsidRPr="00D31361">
        <w:rPr>
          <w:rFonts w:ascii="Calibri" w:hAnsi="Calibri" w:cs="Calibri"/>
          <w:bCs/>
          <w:szCs w:val="24"/>
        </w:rPr>
        <w:t xml:space="preserve">The S social security class reported the highest cases, while E had the lowest. It is also interesting to note that the E Social Security class had no reported case of Malaria </w:t>
      </w:r>
      <w:r w:rsidR="00CE0CB6" w:rsidRPr="00D31361">
        <w:rPr>
          <w:rFonts w:ascii="Calibri" w:hAnsi="Calibri" w:cs="Calibri"/>
          <w:bCs/>
          <w:szCs w:val="24"/>
        </w:rPr>
        <w:t xml:space="preserve">in the data collected </w:t>
      </w:r>
      <w:r w:rsidRPr="00D31361">
        <w:rPr>
          <w:rFonts w:ascii="Calibri" w:hAnsi="Calibri" w:cs="Calibri"/>
          <w:bCs/>
          <w:szCs w:val="24"/>
        </w:rPr>
        <w:t>between 2021 and 2023.</w:t>
      </w:r>
    </w:p>
    <w:p w14:paraId="02D191A6" w14:textId="77777777" w:rsidR="00C72AF9" w:rsidRPr="00D31361" w:rsidRDefault="00000000" w:rsidP="00D31361">
      <w:pPr>
        <w:spacing w:after="160" w:line="360" w:lineRule="auto"/>
        <w:ind w:left="0" w:right="0" w:firstLine="0"/>
        <w:jc w:val="both"/>
        <w:rPr>
          <w:rFonts w:ascii="Calibri" w:hAnsi="Calibri" w:cs="Calibri"/>
          <w:b/>
          <w:bCs/>
          <w:szCs w:val="24"/>
        </w:rPr>
      </w:pPr>
      <w:r w:rsidRPr="00D31361">
        <w:rPr>
          <w:rFonts w:ascii="Calibri" w:hAnsi="Calibri" w:cs="Calibri"/>
          <w:b/>
          <w:bCs/>
          <w:szCs w:val="24"/>
        </w:rPr>
        <w:br w:type="page"/>
      </w:r>
    </w:p>
    <w:p w14:paraId="3CCD3DB5" w14:textId="77777777" w:rsidR="001A491F" w:rsidRPr="00D31361" w:rsidRDefault="00000000" w:rsidP="00D31361">
      <w:pPr>
        <w:spacing w:after="0" w:line="360" w:lineRule="auto"/>
        <w:ind w:left="0" w:right="0" w:firstLine="0"/>
        <w:jc w:val="both"/>
        <w:rPr>
          <w:rFonts w:ascii="Calibri" w:hAnsi="Calibri" w:cs="Calibri"/>
          <w:b/>
          <w:bCs/>
          <w:szCs w:val="24"/>
        </w:rPr>
      </w:pPr>
      <w:r w:rsidRPr="00D31361">
        <w:rPr>
          <w:rFonts w:ascii="Calibri" w:hAnsi="Calibri" w:cs="Calibri"/>
          <w:b/>
          <w:bCs/>
          <w:szCs w:val="24"/>
        </w:rPr>
        <w:lastRenderedPageBreak/>
        <w:t>Cases by Ethnicity</w:t>
      </w:r>
    </w:p>
    <w:p w14:paraId="28C52FA2" w14:textId="77777777" w:rsidR="001A491F" w:rsidRPr="00D31361" w:rsidRDefault="00000000" w:rsidP="00D31361">
      <w:pPr>
        <w:spacing w:after="0" w:line="360" w:lineRule="auto"/>
        <w:ind w:left="0" w:right="0" w:firstLine="0"/>
        <w:jc w:val="center"/>
        <w:rPr>
          <w:rFonts w:ascii="Calibri" w:hAnsi="Calibri" w:cs="Calibri"/>
          <w:color w:val="auto"/>
          <w:kern w:val="0"/>
          <w:szCs w:val="24"/>
          <w:lang w:val="en-GB" w:eastAsia="en-GB"/>
        </w:rPr>
      </w:pPr>
      <w:r w:rsidRPr="00D31361">
        <w:rPr>
          <w:rFonts w:ascii="Calibri" w:hAnsi="Calibri" w:cs="Calibri"/>
          <w:noProof/>
          <w:szCs w:val="24"/>
        </w:rPr>
        <w:drawing>
          <wp:inline distT="0" distB="0" distL="0" distR="0" wp14:anchorId="258B0A56" wp14:editId="621857BD">
            <wp:extent cx="5677958" cy="2887663"/>
            <wp:effectExtent l="0" t="0" r="12065" b="8255"/>
            <wp:docPr id="1872159409" name="Gráfico 1">
              <a:extLst xmlns:a="http://schemas.openxmlformats.org/drawingml/2006/main">
                <a:ext uri="{FF2B5EF4-FFF2-40B4-BE49-F238E27FC236}">
                  <a16:creationId xmlns:a16="http://schemas.microsoft.com/office/drawing/2014/main" id="{54093F2F-174E-4ED3-B531-671BA136AB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C13364" w14:textId="77777777" w:rsidR="002C6468" w:rsidRPr="00D31361" w:rsidRDefault="00000000" w:rsidP="00D31361">
      <w:pPr>
        <w:spacing w:after="202" w:line="360" w:lineRule="auto"/>
        <w:ind w:left="0" w:right="0" w:firstLine="0"/>
        <w:jc w:val="center"/>
        <w:rPr>
          <w:rFonts w:ascii="Calibri" w:hAnsi="Calibri" w:cs="Calibri"/>
          <w:bCs/>
          <w:szCs w:val="24"/>
        </w:rPr>
      </w:pPr>
      <w:r w:rsidRPr="00D31361">
        <w:rPr>
          <w:rFonts w:ascii="Calibri" w:hAnsi="Calibri" w:cs="Calibri"/>
          <w:bCs/>
          <w:szCs w:val="24"/>
        </w:rPr>
        <w:t>Chart</w:t>
      </w:r>
      <w:r w:rsidR="002652FB" w:rsidRPr="00D31361">
        <w:rPr>
          <w:rFonts w:ascii="Calibri" w:hAnsi="Calibri" w:cs="Calibri"/>
          <w:bCs/>
          <w:szCs w:val="24"/>
        </w:rPr>
        <w:t xml:space="preserve"> 2</w:t>
      </w:r>
      <w:r w:rsidRPr="00D31361">
        <w:rPr>
          <w:rFonts w:ascii="Calibri" w:hAnsi="Calibri" w:cs="Calibri"/>
          <w:bCs/>
          <w:szCs w:val="24"/>
        </w:rPr>
        <w:t>: Visual representation of cases by ethnicity</w:t>
      </w:r>
      <w:r w:rsidR="002652FB" w:rsidRPr="00D31361">
        <w:rPr>
          <w:rFonts w:ascii="Calibri" w:hAnsi="Calibri" w:cs="Calibri"/>
          <w:bCs/>
          <w:szCs w:val="24"/>
        </w:rPr>
        <w:t>.</w:t>
      </w:r>
    </w:p>
    <w:p w14:paraId="21DD5F7E" w14:textId="77777777" w:rsidR="00097FD7" w:rsidRPr="00D31361" w:rsidRDefault="00000000" w:rsidP="00D31361">
      <w:pPr>
        <w:spacing w:after="202" w:line="360" w:lineRule="auto"/>
        <w:ind w:left="0" w:right="0" w:firstLine="720"/>
        <w:jc w:val="both"/>
        <w:rPr>
          <w:rFonts w:ascii="Calibri" w:hAnsi="Calibri" w:cs="Calibri"/>
          <w:bCs/>
          <w:szCs w:val="24"/>
        </w:rPr>
      </w:pPr>
      <w:r w:rsidRPr="00D31361">
        <w:rPr>
          <w:rFonts w:ascii="Calibri" w:hAnsi="Calibri" w:cs="Calibri"/>
          <w:bCs/>
          <w:szCs w:val="24"/>
        </w:rPr>
        <w:t xml:space="preserve">The ethnic groups were coded using </w:t>
      </w:r>
      <w:r w:rsidR="00317D69" w:rsidRPr="00D31361">
        <w:rPr>
          <w:rFonts w:ascii="Calibri" w:hAnsi="Calibri" w:cs="Calibri"/>
          <w:bCs/>
          <w:szCs w:val="24"/>
        </w:rPr>
        <w:t>numbers</w:t>
      </w:r>
      <w:r w:rsidRPr="00D31361">
        <w:rPr>
          <w:rFonts w:ascii="Calibri" w:hAnsi="Calibri" w:cs="Calibri"/>
          <w:bCs/>
          <w:szCs w:val="24"/>
        </w:rPr>
        <w:t xml:space="preserve"> 1 to 6, each representing a particular ethnic group.</w:t>
      </w:r>
      <w:r w:rsidR="003661E1" w:rsidRPr="00D31361">
        <w:rPr>
          <w:rFonts w:ascii="Calibri" w:hAnsi="Calibri" w:cs="Calibri"/>
          <w:bCs/>
          <w:szCs w:val="24"/>
        </w:rPr>
        <w:t xml:space="preserve"> </w:t>
      </w:r>
      <w:r w:rsidR="00554970" w:rsidRPr="00D31361">
        <w:rPr>
          <w:rFonts w:ascii="Calibri" w:hAnsi="Calibri" w:cs="Calibri"/>
          <w:bCs/>
          <w:szCs w:val="24"/>
        </w:rPr>
        <w:t>1</w:t>
      </w:r>
      <w:r w:rsidR="007B6BAA" w:rsidRPr="00D31361">
        <w:rPr>
          <w:rFonts w:ascii="Calibri" w:hAnsi="Calibri" w:cs="Calibri"/>
          <w:bCs/>
          <w:szCs w:val="24"/>
        </w:rPr>
        <w:t xml:space="preserve"> indicates Indigenous People, 2 Romani, </w:t>
      </w:r>
      <w:r w:rsidR="007C7326" w:rsidRPr="00D31361">
        <w:rPr>
          <w:rFonts w:ascii="Calibri" w:hAnsi="Calibri" w:cs="Calibri"/>
          <w:bCs/>
          <w:szCs w:val="24"/>
        </w:rPr>
        <w:t xml:space="preserve">3 Raizal, which refers to an ethnic group that lives </w:t>
      </w:r>
      <w:r w:rsidR="007A7285" w:rsidRPr="00D31361">
        <w:rPr>
          <w:rFonts w:ascii="Calibri" w:hAnsi="Calibri" w:cs="Calibri"/>
          <w:bCs/>
          <w:szCs w:val="24"/>
        </w:rPr>
        <w:t xml:space="preserve">on the Colombian Caribbean islands, 4 </w:t>
      </w:r>
      <w:r w:rsidR="00AE57BE" w:rsidRPr="00D31361">
        <w:rPr>
          <w:rFonts w:ascii="Calibri" w:hAnsi="Calibri" w:cs="Calibri"/>
          <w:bCs/>
          <w:szCs w:val="24"/>
        </w:rPr>
        <w:t xml:space="preserve">Palenque, another unique ethnic group that </w:t>
      </w:r>
      <w:r w:rsidR="00AF1C2D" w:rsidRPr="00D31361">
        <w:rPr>
          <w:rFonts w:ascii="Calibri" w:hAnsi="Calibri" w:cs="Calibri"/>
          <w:bCs/>
          <w:szCs w:val="24"/>
        </w:rPr>
        <w:t xml:space="preserve">only </w:t>
      </w:r>
      <w:r w:rsidR="00AE57BE" w:rsidRPr="00D31361">
        <w:rPr>
          <w:rFonts w:ascii="Calibri" w:hAnsi="Calibri" w:cs="Calibri"/>
          <w:bCs/>
          <w:szCs w:val="24"/>
        </w:rPr>
        <w:t xml:space="preserve">inhabits </w:t>
      </w:r>
      <w:r w:rsidR="00AF1C2D" w:rsidRPr="00D31361">
        <w:rPr>
          <w:rFonts w:ascii="Calibri" w:hAnsi="Calibri" w:cs="Calibri"/>
          <w:bCs/>
          <w:szCs w:val="24"/>
        </w:rPr>
        <w:t xml:space="preserve">the northern swamps </w:t>
      </w:r>
      <w:r w:rsidR="00317D69" w:rsidRPr="00D31361">
        <w:rPr>
          <w:rFonts w:ascii="Calibri" w:hAnsi="Calibri" w:cs="Calibri"/>
          <w:bCs/>
          <w:szCs w:val="24"/>
        </w:rPr>
        <w:t>of Colombia, 5 for Afro, and 6 for others.</w:t>
      </w:r>
      <w:r w:rsidR="00F4451E" w:rsidRPr="00D31361">
        <w:rPr>
          <w:rFonts w:ascii="Calibri" w:hAnsi="Calibri" w:cs="Calibri"/>
          <w:bCs/>
          <w:szCs w:val="24"/>
        </w:rPr>
        <w:t xml:space="preserve"> </w:t>
      </w:r>
    </w:p>
    <w:p w14:paraId="44A52849" w14:textId="132E4A20" w:rsidR="000D513E" w:rsidRPr="00D31361" w:rsidRDefault="00000000" w:rsidP="00D31361">
      <w:pPr>
        <w:spacing w:after="202" w:line="360" w:lineRule="auto"/>
        <w:ind w:left="0" w:right="0" w:firstLine="720"/>
        <w:jc w:val="both"/>
        <w:rPr>
          <w:rFonts w:ascii="Calibri" w:hAnsi="Calibri" w:cs="Calibri"/>
          <w:bCs/>
          <w:szCs w:val="24"/>
        </w:rPr>
      </w:pPr>
      <w:r w:rsidRPr="00D31361">
        <w:rPr>
          <w:rFonts w:ascii="Calibri" w:hAnsi="Calibri" w:cs="Calibri"/>
          <w:bCs/>
          <w:szCs w:val="24"/>
        </w:rPr>
        <w:t xml:space="preserve">It was expected that most cases </w:t>
      </w:r>
      <w:r w:rsidR="00F01CEC" w:rsidRPr="00D31361">
        <w:rPr>
          <w:rFonts w:ascii="Calibri" w:hAnsi="Calibri" w:cs="Calibri"/>
          <w:bCs/>
          <w:szCs w:val="24"/>
        </w:rPr>
        <w:t xml:space="preserve">were suffered by the population in the </w:t>
      </w:r>
      <w:r w:rsidR="002652FB" w:rsidRPr="00D31361">
        <w:rPr>
          <w:rFonts w:ascii="Calibri" w:hAnsi="Calibri" w:cs="Calibri"/>
          <w:bCs/>
          <w:szCs w:val="24"/>
        </w:rPr>
        <w:t>“</w:t>
      </w:r>
      <w:r w:rsidR="00F01CEC" w:rsidRPr="00D31361">
        <w:rPr>
          <w:rFonts w:ascii="Calibri" w:hAnsi="Calibri" w:cs="Calibri"/>
          <w:bCs/>
          <w:szCs w:val="24"/>
        </w:rPr>
        <w:t>Others</w:t>
      </w:r>
      <w:r w:rsidR="002652FB" w:rsidRPr="00D31361">
        <w:rPr>
          <w:rFonts w:ascii="Calibri" w:hAnsi="Calibri" w:cs="Calibri"/>
          <w:bCs/>
          <w:szCs w:val="24"/>
        </w:rPr>
        <w:t>”</w:t>
      </w:r>
      <w:r w:rsidR="00F01CEC" w:rsidRPr="00D31361">
        <w:rPr>
          <w:rFonts w:ascii="Calibri" w:hAnsi="Calibri" w:cs="Calibri"/>
          <w:bCs/>
          <w:szCs w:val="24"/>
        </w:rPr>
        <w:t xml:space="preserve"> category, as </w:t>
      </w:r>
      <w:r w:rsidR="000F165F" w:rsidRPr="00D31361">
        <w:rPr>
          <w:rFonts w:ascii="Calibri" w:hAnsi="Calibri" w:cs="Calibri"/>
          <w:bCs/>
          <w:szCs w:val="24"/>
        </w:rPr>
        <w:t xml:space="preserve">it is </w:t>
      </w:r>
      <w:r w:rsidR="001E38E2" w:rsidRPr="00D31361">
        <w:rPr>
          <w:rFonts w:ascii="Calibri" w:hAnsi="Calibri" w:cs="Calibri"/>
          <w:bCs/>
          <w:szCs w:val="24"/>
        </w:rPr>
        <w:t>most</w:t>
      </w:r>
      <w:r w:rsidR="000F165F" w:rsidRPr="00D31361">
        <w:rPr>
          <w:rFonts w:ascii="Calibri" w:hAnsi="Calibri" w:cs="Calibri"/>
          <w:bCs/>
          <w:szCs w:val="24"/>
        </w:rPr>
        <w:t xml:space="preserve"> inhabitants in Colombia</w:t>
      </w:r>
      <w:r w:rsidR="00007F4D" w:rsidRPr="00D31361">
        <w:rPr>
          <w:rFonts w:ascii="Calibri" w:hAnsi="Calibri" w:cs="Calibri"/>
          <w:bCs/>
          <w:szCs w:val="24"/>
        </w:rPr>
        <w:t xml:space="preserve">, with a total of </w:t>
      </w:r>
      <w:r w:rsidR="009F21B2" w:rsidRPr="00D31361">
        <w:rPr>
          <w:rFonts w:ascii="Calibri" w:hAnsi="Calibri" w:cs="Calibri"/>
          <w:bCs/>
          <w:szCs w:val="24"/>
        </w:rPr>
        <w:t>119.912 cases</w:t>
      </w:r>
      <w:r w:rsidR="000F165F" w:rsidRPr="00D31361">
        <w:rPr>
          <w:rFonts w:ascii="Calibri" w:hAnsi="Calibri" w:cs="Calibri"/>
          <w:bCs/>
          <w:szCs w:val="24"/>
        </w:rPr>
        <w:t xml:space="preserve">. </w:t>
      </w:r>
      <w:r w:rsidR="00832470" w:rsidRPr="00D31361">
        <w:rPr>
          <w:rFonts w:ascii="Calibri" w:hAnsi="Calibri" w:cs="Calibri"/>
          <w:bCs/>
          <w:szCs w:val="24"/>
        </w:rPr>
        <w:t>Moreover</w:t>
      </w:r>
      <w:r w:rsidR="009F21B2" w:rsidRPr="00D31361">
        <w:rPr>
          <w:rFonts w:ascii="Calibri" w:hAnsi="Calibri" w:cs="Calibri"/>
          <w:bCs/>
          <w:szCs w:val="24"/>
        </w:rPr>
        <w:t xml:space="preserve">, </w:t>
      </w:r>
      <w:r w:rsidR="00E3725C" w:rsidRPr="00D31361">
        <w:rPr>
          <w:rFonts w:ascii="Calibri" w:hAnsi="Calibri" w:cs="Calibri"/>
          <w:bCs/>
          <w:szCs w:val="24"/>
        </w:rPr>
        <w:t xml:space="preserve">Indigenous and Afro communities </w:t>
      </w:r>
      <w:r w:rsidR="00277BA6" w:rsidRPr="00D31361">
        <w:rPr>
          <w:rFonts w:ascii="Calibri" w:hAnsi="Calibri" w:cs="Calibri"/>
          <w:bCs/>
          <w:szCs w:val="24"/>
        </w:rPr>
        <w:t>collected 93.976 and 49.852 cases, respectively.</w:t>
      </w:r>
      <w:r w:rsidR="00CC1EBC" w:rsidRPr="00D31361">
        <w:rPr>
          <w:rFonts w:ascii="Calibri" w:hAnsi="Calibri" w:cs="Calibri"/>
          <w:bCs/>
          <w:szCs w:val="24"/>
        </w:rPr>
        <w:t xml:space="preserve"> </w:t>
      </w:r>
      <w:r w:rsidR="008B331F" w:rsidRPr="00D31361">
        <w:rPr>
          <w:rFonts w:ascii="Calibri" w:hAnsi="Calibri" w:cs="Calibri"/>
          <w:bCs/>
          <w:szCs w:val="24"/>
        </w:rPr>
        <w:t xml:space="preserve">In Colombia, </w:t>
      </w:r>
      <w:r w:rsidR="00FB55E1" w:rsidRPr="00D31361">
        <w:rPr>
          <w:rFonts w:ascii="Calibri" w:hAnsi="Calibri" w:cs="Calibri"/>
          <w:bCs/>
          <w:szCs w:val="24"/>
        </w:rPr>
        <w:t xml:space="preserve">Indigenous and Afro communities historically have </w:t>
      </w:r>
      <w:r w:rsidR="008F305A" w:rsidRPr="00D31361">
        <w:rPr>
          <w:rFonts w:ascii="Calibri" w:hAnsi="Calibri" w:cs="Calibri"/>
          <w:bCs/>
          <w:szCs w:val="24"/>
        </w:rPr>
        <w:t>been affected by</w:t>
      </w:r>
      <w:r w:rsidR="00FB55E1" w:rsidRPr="00D31361">
        <w:rPr>
          <w:rFonts w:ascii="Calibri" w:hAnsi="Calibri" w:cs="Calibri"/>
          <w:bCs/>
          <w:szCs w:val="24"/>
        </w:rPr>
        <w:t xml:space="preserve"> </w:t>
      </w:r>
      <w:r w:rsidR="00236A8A" w:rsidRPr="00D31361">
        <w:rPr>
          <w:rFonts w:ascii="Calibri" w:hAnsi="Calibri" w:cs="Calibri"/>
          <w:bCs/>
          <w:szCs w:val="24"/>
        </w:rPr>
        <w:t>state</w:t>
      </w:r>
      <w:r w:rsidR="00B8653A" w:rsidRPr="00D31361">
        <w:rPr>
          <w:rFonts w:ascii="Calibri" w:hAnsi="Calibri" w:cs="Calibri"/>
          <w:bCs/>
          <w:szCs w:val="24"/>
        </w:rPr>
        <w:t xml:space="preserve"> abando</w:t>
      </w:r>
      <w:r w:rsidR="00236A8A" w:rsidRPr="00D31361">
        <w:rPr>
          <w:rFonts w:ascii="Calibri" w:hAnsi="Calibri" w:cs="Calibri"/>
          <w:bCs/>
          <w:szCs w:val="24"/>
        </w:rPr>
        <w:t>nment</w:t>
      </w:r>
      <w:r w:rsidR="00AF45B9" w:rsidRPr="00D31361">
        <w:rPr>
          <w:rFonts w:ascii="Calibri" w:hAnsi="Calibri" w:cs="Calibri"/>
          <w:bCs/>
          <w:szCs w:val="24"/>
        </w:rPr>
        <w:t xml:space="preserve"> </w:t>
      </w:r>
      <w:r w:rsidR="003355CA" w:rsidRPr="00D31361">
        <w:rPr>
          <w:rFonts w:ascii="Calibri" w:hAnsi="Calibri" w:cs="Calibri"/>
          <w:bCs/>
          <w:szCs w:val="24"/>
        </w:rPr>
        <w:t>(Rocha, 2020)</w:t>
      </w:r>
      <w:r w:rsidR="00236A8A" w:rsidRPr="00D31361">
        <w:rPr>
          <w:rFonts w:ascii="Calibri" w:hAnsi="Calibri" w:cs="Calibri"/>
          <w:bCs/>
          <w:szCs w:val="24"/>
        </w:rPr>
        <w:t xml:space="preserve">, increasing their risk </w:t>
      </w:r>
      <w:r w:rsidR="00DE69DD" w:rsidRPr="00D31361">
        <w:rPr>
          <w:rFonts w:ascii="Calibri" w:hAnsi="Calibri" w:cs="Calibri"/>
          <w:bCs/>
          <w:szCs w:val="24"/>
        </w:rPr>
        <w:t>of suffering from diseases like Malaria.</w:t>
      </w:r>
    </w:p>
    <w:p w14:paraId="0F074540" w14:textId="77777777" w:rsidR="000D513E" w:rsidRPr="00D31361" w:rsidRDefault="00000000" w:rsidP="00D31361">
      <w:pPr>
        <w:spacing w:after="160" w:line="360" w:lineRule="auto"/>
        <w:ind w:left="0" w:right="0" w:firstLine="0"/>
        <w:jc w:val="both"/>
        <w:rPr>
          <w:rFonts w:ascii="Calibri" w:hAnsi="Calibri" w:cs="Calibri"/>
          <w:bCs/>
          <w:szCs w:val="24"/>
        </w:rPr>
      </w:pPr>
      <w:r w:rsidRPr="00D31361">
        <w:rPr>
          <w:rFonts w:ascii="Calibri" w:hAnsi="Calibri" w:cs="Calibri"/>
          <w:bCs/>
          <w:szCs w:val="24"/>
        </w:rPr>
        <w:br w:type="page"/>
      </w:r>
    </w:p>
    <w:p w14:paraId="24F85BBA" w14:textId="77777777" w:rsidR="003661E1" w:rsidRPr="00D31361" w:rsidRDefault="00000000" w:rsidP="00D31361">
      <w:pPr>
        <w:spacing w:after="202" w:line="360" w:lineRule="auto"/>
        <w:ind w:left="0" w:right="0" w:firstLine="0"/>
        <w:jc w:val="both"/>
        <w:rPr>
          <w:rFonts w:ascii="Calibri" w:hAnsi="Calibri" w:cs="Calibri"/>
          <w:b/>
          <w:bCs/>
          <w:szCs w:val="24"/>
        </w:rPr>
      </w:pPr>
      <w:r w:rsidRPr="00D31361">
        <w:rPr>
          <w:rFonts w:ascii="Calibri" w:hAnsi="Calibri" w:cs="Calibri"/>
          <w:b/>
          <w:bCs/>
          <w:szCs w:val="24"/>
        </w:rPr>
        <w:lastRenderedPageBreak/>
        <w:t>Cases by migrant status</w:t>
      </w:r>
    </w:p>
    <w:p w14:paraId="66E3C03D" w14:textId="77777777" w:rsidR="00CB757E" w:rsidRPr="00D31361" w:rsidRDefault="00000000" w:rsidP="00D31361">
      <w:pPr>
        <w:spacing w:after="202" w:line="360" w:lineRule="auto"/>
        <w:ind w:left="0" w:right="0" w:firstLine="0"/>
        <w:jc w:val="center"/>
        <w:rPr>
          <w:rFonts w:ascii="Calibri" w:hAnsi="Calibri" w:cs="Calibri"/>
          <w:bCs/>
          <w:szCs w:val="24"/>
        </w:rPr>
      </w:pPr>
      <w:r w:rsidRPr="00D31361">
        <w:rPr>
          <w:rFonts w:ascii="Calibri" w:hAnsi="Calibri" w:cs="Calibri"/>
          <w:noProof/>
          <w:szCs w:val="24"/>
        </w:rPr>
        <w:drawing>
          <wp:inline distT="0" distB="0" distL="0" distR="0" wp14:anchorId="5AEAC6F9" wp14:editId="7BE02C13">
            <wp:extent cx="6231255" cy="2772410"/>
            <wp:effectExtent l="0" t="0" r="17145" b="8890"/>
            <wp:docPr id="396149213" name="Gráfico 1">
              <a:extLst xmlns:a="http://schemas.openxmlformats.org/drawingml/2006/main">
                <a:ext uri="{FF2B5EF4-FFF2-40B4-BE49-F238E27FC236}">
                  <a16:creationId xmlns:a16="http://schemas.microsoft.com/office/drawing/2014/main" id="{72AA4DF6-F0B2-4573-92D6-9D5115D360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A52E3EA" w14:textId="77777777" w:rsidR="003661E1" w:rsidRPr="00D31361" w:rsidRDefault="00000000" w:rsidP="00D31361">
      <w:pPr>
        <w:spacing w:after="202" w:line="360" w:lineRule="auto"/>
        <w:ind w:left="0" w:right="0" w:firstLine="0"/>
        <w:jc w:val="center"/>
        <w:rPr>
          <w:rFonts w:ascii="Calibri" w:hAnsi="Calibri" w:cs="Calibri"/>
          <w:bCs/>
          <w:szCs w:val="24"/>
        </w:rPr>
      </w:pPr>
      <w:r w:rsidRPr="00D31361">
        <w:rPr>
          <w:rFonts w:ascii="Calibri" w:hAnsi="Calibri" w:cs="Calibri"/>
          <w:bCs/>
          <w:szCs w:val="24"/>
        </w:rPr>
        <w:t>C</w:t>
      </w:r>
      <w:r w:rsidR="00097FD7" w:rsidRPr="00D31361">
        <w:rPr>
          <w:rFonts w:ascii="Calibri" w:hAnsi="Calibri" w:cs="Calibri"/>
          <w:bCs/>
          <w:szCs w:val="24"/>
        </w:rPr>
        <w:t>hart</w:t>
      </w:r>
      <w:r w:rsidRPr="00D31361">
        <w:rPr>
          <w:rFonts w:ascii="Calibri" w:hAnsi="Calibri" w:cs="Calibri"/>
          <w:bCs/>
          <w:szCs w:val="24"/>
        </w:rPr>
        <w:t xml:space="preserve"> 3: Visual representation of data by migration status.</w:t>
      </w:r>
    </w:p>
    <w:p w14:paraId="68FE563B" w14:textId="77777777" w:rsidR="00123CE1" w:rsidRPr="00D31361" w:rsidRDefault="00000000" w:rsidP="00D31361">
      <w:pPr>
        <w:spacing w:after="58" w:line="360" w:lineRule="auto"/>
        <w:ind w:left="0" w:right="469" w:firstLine="720"/>
        <w:jc w:val="both"/>
        <w:rPr>
          <w:rFonts w:ascii="Calibri" w:hAnsi="Calibri" w:cs="Calibri"/>
          <w:bCs/>
          <w:szCs w:val="24"/>
        </w:rPr>
      </w:pPr>
      <w:r w:rsidRPr="00D31361">
        <w:rPr>
          <w:rFonts w:ascii="Calibri" w:hAnsi="Calibri" w:cs="Calibri"/>
          <w:bCs/>
          <w:szCs w:val="24"/>
        </w:rPr>
        <w:t xml:space="preserve">The migration status was </w:t>
      </w:r>
      <w:r w:rsidR="00D42FD1" w:rsidRPr="00D31361">
        <w:rPr>
          <w:rFonts w:ascii="Calibri" w:hAnsi="Calibri" w:cs="Calibri"/>
          <w:bCs/>
          <w:szCs w:val="24"/>
        </w:rPr>
        <w:t xml:space="preserve">encoded using numbers 1 and 2, where 1 represents a migrant, and 2 represents a citizen </w:t>
      </w:r>
      <w:r w:rsidR="00AF45B9" w:rsidRPr="00D31361">
        <w:rPr>
          <w:rFonts w:ascii="Calibri" w:hAnsi="Calibri" w:cs="Calibri"/>
          <w:bCs/>
          <w:szCs w:val="24"/>
        </w:rPr>
        <w:t>of</w:t>
      </w:r>
      <w:r w:rsidR="00D42FD1" w:rsidRPr="00D31361">
        <w:rPr>
          <w:rFonts w:ascii="Calibri" w:hAnsi="Calibri" w:cs="Calibri"/>
          <w:bCs/>
          <w:szCs w:val="24"/>
        </w:rPr>
        <w:t xml:space="preserve"> Colombia. From the bar chart above, the citizens (coded as '2') have reported more malaria cases yearly, with the highest number recorded in 2022.</w:t>
      </w:r>
      <w:r w:rsidR="00AF45B9" w:rsidRPr="00D31361">
        <w:rPr>
          <w:rFonts w:ascii="Calibri" w:hAnsi="Calibri" w:cs="Calibri"/>
          <w:bCs/>
          <w:szCs w:val="24"/>
        </w:rPr>
        <w:t xml:space="preserve"> The rise of migrant cases in Colombia corresponds with the </w:t>
      </w:r>
      <w:r w:rsidR="00040643" w:rsidRPr="00D31361">
        <w:rPr>
          <w:rFonts w:ascii="Calibri" w:hAnsi="Calibri" w:cs="Calibri"/>
          <w:bCs/>
          <w:szCs w:val="24"/>
        </w:rPr>
        <w:t xml:space="preserve">exodus of Venezuelan people due to </w:t>
      </w:r>
      <w:r w:rsidR="00917330" w:rsidRPr="00D31361">
        <w:rPr>
          <w:rFonts w:ascii="Calibri" w:hAnsi="Calibri" w:cs="Calibri"/>
          <w:bCs/>
          <w:szCs w:val="24"/>
        </w:rPr>
        <w:t xml:space="preserve">the </w:t>
      </w:r>
      <w:r w:rsidR="00040643" w:rsidRPr="00D31361">
        <w:rPr>
          <w:rFonts w:ascii="Calibri" w:hAnsi="Calibri" w:cs="Calibri"/>
          <w:bCs/>
          <w:szCs w:val="24"/>
        </w:rPr>
        <w:t>political and social situation in their country</w:t>
      </w:r>
      <w:r w:rsidR="00A65099" w:rsidRPr="00D31361">
        <w:rPr>
          <w:rFonts w:ascii="Calibri" w:hAnsi="Calibri" w:cs="Calibri"/>
          <w:bCs/>
          <w:szCs w:val="24"/>
        </w:rPr>
        <w:t xml:space="preserve">, making Colombia the primary </w:t>
      </w:r>
      <w:r w:rsidR="004C2D34" w:rsidRPr="00D31361">
        <w:rPr>
          <w:rFonts w:ascii="Calibri" w:hAnsi="Calibri" w:cs="Calibri"/>
          <w:bCs/>
          <w:szCs w:val="24"/>
        </w:rPr>
        <w:t>receptor of Venezuelans</w:t>
      </w:r>
      <w:r w:rsidR="00756623" w:rsidRPr="00D31361">
        <w:rPr>
          <w:rFonts w:ascii="Calibri" w:hAnsi="Calibri" w:cs="Calibri"/>
          <w:bCs/>
          <w:szCs w:val="24"/>
        </w:rPr>
        <w:t xml:space="preserve"> (Arena, n.d.)</w:t>
      </w:r>
      <w:r w:rsidR="00040643" w:rsidRPr="00D31361">
        <w:rPr>
          <w:rFonts w:ascii="Calibri" w:hAnsi="Calibri" w:cs="Calibri"/>
          <w:bCs/>
          <w:szCs w:val="24"/>
        </w:rPr>
        <w:t xml:space="preserve">. </w:t>
      </w:r>
    </w:p>
    <w:p w14:paraId="003F078E" w14:textId="77777777" w:rsidR="00123CE1" w:rsidRPr="00D31361" w:rsidRDefault="00000000" w:rsidP="00D31361">
      <w:pPr>
        <w:spacing w:after="160" w:line="360" w:lineRule="auto"/>
        <w:ind w:left="0" w:right="0" w:firstLine="0"/>
        <w:jc w:val="both"/>
        <w:rPr>
          <w:rFonts w:ascii="Calibri" w:hAnsi="Calibri" w:cs="Calibri"/>
          <w:bCs/>
          <w:szCs w:val="24"/>
        </w:rPr>
      </w:pPr>
      <w:r w:rsidRPr="00D31361">
        <w:rPr>
          <w:rFonts w:ascii="Calibri" w:hAnsi="Calibri" w:cs="Calibri"/>
          <w:bCs/>
          <w:szCs w:val="24"/>
        </w:rPr>
        <w:br w:type="page"/>
      </w:r>
    </w:p>
    <w:p w14:paraId="0D117834" w14:textId="77777777" w:rsidR="00D42FD1" w:rsidRPr="00D31361" w:rsidRDefault="00000000" w:rsidP="00D31361">
      <w:pPr>
        <w:spacing w:after="58" w:line="360" w:lineRule="auto"/>
        <w:ind w:left="0" w:right="469" w:firstLine="0"/>
        <w:jc w:val="both"/>
        <w:rPr>
          <w:rFonts w:ascii="Calibri" w:hAnsi="Calibri" w:cs="Calibri"/>
          <w:bCs/>
          <w:szCs w:val="24"/>
        </w:rPr>
      </w:pPr>
      <w:r w:rsidRPr="00D31361">
        <w:rPr>
          <w:rFonts w:ascii="Calibri" w:hAnsi="Calibri" w:cs="Calibri"/>
          <w:b/>
          <w:bCs/>
          <w:szCs w:val="24"/>
        </w:rPr>
        <w:lastRenderedPageBreak/>
        <w:t>Cases by Pregnancy Status</w:t>
      </w:r>
    </w:p>
    <w:p w14:paraId="723D1D69" w14:textId="77777777" w:rsidR="00D42FD1" w:rsidRPr="00D31361" w:rsidRDefault="00000000" w:rsidP="00D31361">
      <w:pPr>
        <w:spacing w:after="58" w:line="360" w:lineRule="auto"/>
        <w:ind w:left="0" w:right="469" w:firstLine="0"/>
        <w:jc w:val="center"/>
        <w:rPr>
          <w:rFonts w:ascii="Calibri" w:hAnsi="Calibri" w:cs="Calibri"/>
          <w:b/>
          <w:bCs/>
          <w:szCs w:val="24"/>
        </w:rPr>
      </w:pPr>
      <w:r w:rsidRPr="00D31361">
        <w:rPr>
          <w:rFonts w:ascii="Calibri" w:hAnsi="Calibri" w:cs="Calibri"/>
          <w:noProof/>
          <w:szCs w:val="24"/>
        </w:rPr>
        <w:drawing>
          <wp:inline distT="0" distB="0" distL="0" distR="0" wp14:anchorId="6207CB23" wp14:editId="6008EFD4">
            <wp:extent cx="5292725" cy="2743200"/>
            <wp:effectExtent l="0" t="0" r="15875" b="12700"/>
            <wp:docPr id="393999066" name="Gráfico 1">
              <a:extLst xmlns:a="http://schemas.openxmlformats.org/drawingml/2006/main">
                <a:ext uri="{FF2B5EF4-FFF2-40B4-BE49-F238E27FC236}">
                  <a16:creationId xmlns:a16="http://schemas.microsoft.com/office/drawing/2014/main" id="{729A8225-CF45-DF44-8741-3548AC2D98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D9E280B" w14:textId="77777777" w:rsidR="00D42FD1" w:rsidRPr="00D31361" w:rsidRDefault="00000000" w:rsidP="00D31361">
      <w:pPr>
        <w:spacing w:after="58" w:line="360" w:lineRule="auto"/>
        <w:ind w:left="0" w:right="469" w:firstLine="0"/>
        <w:jc w:val="center"/>
        <w:rPr>
          <w:rFonts w:ascii="Calibri" w:hAnsi="Calibri" w:cs="Calibri"/>
          <w:bCs/>
          <w:szCs w:val="24"/>
        </w:rPr>
      </w:pPr>
      <w:r w:rsidRPr="00D31361">
        <w:rPr>
          <w:rFonts w:ascii="Calibri" w:hAnsi="Calibri" w:cs="Calibri"/>
          <w:bCs/>
          <w:szCs w:val="24"/>
        </w:rPr>
        <w:t>Chart</w:t>
      </w:r>
      <w:r w:rsidR="002652FB" w:rsidRPr="00D31361">
        <w:rPr>
          <w:rFonts w:ascii="Calibri" w:hAnsi="Calibri" w:cs="Calibri"/>
          <w:bCs/>
          <w:szCs w:val="24"/>
        </w:rPr>
        <w:t xml:space="preserve"> 4</w:t>
      </w:r>
      <w:r w:rsidRPr="00D31361">
        <w:rPr>
          <w:rFonts w:ascii="Calibri" w:hAnsi="Calibri" w:cs="Calibri"/>
          <w:bCs/>
          <w:szCs w:val="24"/>
        </w:rPr>
        <w:t>:</w:t>
      </w:r>
      <w:r w:rsidR="00097FD7" w:rsidRPr="00D31361">
        <w:rPr>
          <w:rFonts w:ascii="Calibri" w:hAnsi="Calibri" w:cs="Calibri"/>
          <w:bCs/>
          <w:szCs w:val="24"/>
        </w:rPr>
        <w:t xml:space="preserve"> a visual representation of analysis of case by pregnancy status</w:t>
      </w:r>
      <w:r w:rsidR="002652FB" w:rsidRPr="00D31361">
        <w:rPr>
          <w:rFonts w:ascii="Calibri" w:hAnsi="Calibri" w:cs="Calibri"/>
          <w:bCs/>
          <w:szCs w:val="24"/>
        </w:rPr>
        <w:t>.</w:t>
      </w:r>
    </w:p>
    <w:p w14:paraId="2772EFB6" w14:textId="77777777" w:rsidR="00FF47F0" w:rsidRPr="00D31361" w:rsidRDefault="00000000" w:rsidP="00D31361">
      <w:pPr>
        <w:spacing w:after="58" w:line="360" w:lineRule="auto"/>
        <w:ind w:left="0" w:right="469" w:firstLine="720"/>
        <w:jc w:val="both"/>
        <w:rPr>
          <w:rFonts w:ascii="Calibri" w:hAnsi="Calibri" w:cs="Calibri"/>
          <w:bCs/>
          <w:szCs w:val="24"/>
        </w:rPr>
      </w:pPr>
      <w:r w:rsidRPr="00D31361">
        <w:rPr>
          <w:rFonts w:ascii="Calibri" w:hAnsi="Calibri" w:cs="Calibri"/>
          <w:bCs/>
          <w:szCs w:val="24"/>
        </w:rPr>
        <w:t xml:space="preserve">For females, the immunological changes that </w:t>
      </w:r>
      <w:r w:rsidR="00C11245" w:rsidRPr="00D31361">
        <w:rPr>
          <w:rFonts w:ascii="Calibri" w:hAnsi="Calibri" w:cs="Calibri"/>
          <w:bCs/>
          <w:szCs w:val="24"/>
        </w:rPr>
        <w:t>occur</w:t>
      </w:r>
      <w:r w:rsidRPr="00D31361">
        <w:rPr>
          <w:rFonts w:ascii="Calibri" w:hAnsi="Calibri" w:cs="Calibri"/>
          <w:bCs/>
          <w:szCs w:val="24"/>
        </w:rPr>
        <w:t xml:space="preserve"> during pregnancy </w:t>
      </w:r>
      <w:r w:rsidR="003F65F1" w:rsidRPr="00D31361">
        <w:rPr>
          <w:rFonts w:ascii="Calibri" w:hAnsi="Calibri" w:cs="Calibri"/>
          <w:bCs/>
          <w:szCs w:val="24"/>
        </w:rPr>
        <w:t>put</w:t>
      </w:r>
      <w:r w:rsidRPr="00D31361">
        <w:rPr>
          <w:rFonts w:ascii="Calibri" w:hAnsi="Calibri" w:cs="Calibri"/>
          <w:bCs/>
          <w:szCs w:val="24"/>
        </w:rPr>
        <w:t xml:space="preserve"> pregnant women living in malaria-prone regions at high risk of developing Malaria</w:t>
      </w:r>
      <w:r w:rsidR="00AF45B9" w:rsidRPr="00D31361">
        <w:rPr>
          <w:rFonts w:ascii="Calibri" w:hAnsi="Calibri" w:cs="Calibri"/>
          <w:bCs/>
          <w:szCs w:val="24"/>
        </w:rPr>
        <w:t xml:space="preserve"> </w:t>
      </w:r>
      <w:r w:rsidR="0061438B" w:rsidRPr="00D31361">
        <w:rPr>
          <w:rFonts w:ascii="Calibri" w:hAnsi="Calibri" w:cs="Calibri"/>
          <w:bCs/>
          <w:szCs w:val="24"/>
        </w:rPr>
        <w:fldChar w:fldCharType="begin" w:fldLock="1"/>
      </w:r>
      <w:r w:rsidR="002B3A87" w:rsidRPr="00D31361">
        <w:rPr>
          <w:rFonts w:ascii="Calibri" w:hAnsi="Calibri" w:cs="Calibri"/>
          <w:bCs/>
          <w:szCs w:val="24"/>
        </w:rPr>
        <w:instrText>ADDIN CSL_CITATION {"citationItems":[{"id":"ITEM-1","itemData":{"DOI":"10.4103/IJMR.IJMR_1304_17","ISSN":"09715916","PMID":"29355138","abstract":"Pregnant women are especially susceptible to malaria infection. Without existing immunity, severe malaria can develop requiring emergency treatment, and pregnancy loss is common. In semi-immune women, consequences of malaria for the mother include anaemia while stillbirth, premature delivery and foetal growth restriction affect the developing foetus. Preventive measures include insecticide-treated nets and (in some African settings) intermittent preventive treatment. Prompt management of maternal infection is key, using parenteral artemisinins for severe malaria, and artemisinin combination treatments (ACTs) in the second and third trimesters of pregnancy. ACTs may soon also be recommended as an alternative to quinine as a treatment in the first trimester of pregnancy. Monitoring the safety of antimalarials and understanding their pharmacokinetics is particularly important in pregnancy with the altered maternal physiology and the risks to the developing foetus. As increasing numbers of countries embrace malaria elimination as a goal, the special needs of the vulnerable group of pregnant women and their infants should not be overlooked.","author":[{"dropping-particle":"","family":"Rogerson","given":"Stephen J.","non-dropping-particle":"","parse-names":false,"suffix":""}],"container-title":"The Indian Journal of Medical Research","id":"ITEM-1","issue":"3","issued":{"date-parts":[["2017","9","1"]]},"page":"328","publisher":"Wolters Kluwer -- Medknow Publications","title":"Management of malaria in pregnancy","type":"article-journal","volume":"146"},"uris":["http://www.mendeley.com/documents/?uuid=9aec4350-a900-380b-bba5-313afa9e6116"]}],"mendeley":{"formattedCitation":"(Rogerson, 2017)","plainTextFormattedCitation":"(Rogerson, 2017)","previouslyFormattedCitation":"(Rogerson, 2017)"},"properties":{"noteIndex":0},"schema":"https://github.com/citation-style-language/schema/raw/master/csl-citation.json"}</w:instrText>
      </w:r>
      <w:r w:rsidR="0061438B" w:rsidRPr="00D31361">
        <w:rPr>
          <w:rFonts w:ascii="Calibri" w:hAnsi="Calibri" w:cs="Calibri"/>
          <w:bCs/>
          <w:szCs w:val="24"/>
        </w:rPr>
        <w:fldChar w:fldCharType="separate"/>
      </w:r>
      <w:r w:rsidRPr="00D31361">
        <w:rPr>
          <w:rFonts w:ascii="Calibri" w:hAnsi="Calibri" w:cs="Calibri"/>
          <w:bCs/>
          <w:noProof/>
          <w:szCs w:val="24"/>
        </w:rPr>
        <w:t>(Rogerson, 2017)</w:t>
      </w:r>
      <w:r w:rsidR="0061438B" w:rsidRPr="00D31361">
        <w:rPr>
          <w:rFonts w:ascii="Calibri" w:hAnsi="Calibri" w:cs="Calibri"/>
          <w:bCs/>
          <w:szCs w:val="24"/>
        </w:rPr>
        <w:fldChar w:fldCharType="end"/>
      </w:r>
      <w:r w:rsidRPr="00D31361">
        <w:rPr>
          <w:rFonts w:ascii="Calibri" w:hAnsi="Calibri" w:cs="Calibri"/>
          <w:bCs/>
          <w:szCs w:val="24"/>
        </w:rPr>
        <w:t>.</w:t>
      </w:r>
      <w:r w:rsidR="004F4F95" w:rsidRPr="00D31361">
        <w:rPr>
          <w:rFonts w:ascii="Calibri" w:hAnsi="Calibri" w:cs="Calibri"/>
          <w:bCs/>
          <w:szCs w:val="24"/>
        </w:rPr>
        <w:t xml:space="preserve"> Pregnant women residing in malaria-endemic areas face an elevated risk of contracting Malaria due to immunological alterations that accompany pregnancy (Rogerson, 2017). The depicted graph illustrates, in line 1, the recorded instances of pregnant women and, in line 2, the occurrences of pregnant women who experienced malaria infection. This prevalence escalated annually from 1% to 2% between 2015 and 2019. Furthermore, a notable surge of 5% in malaria cases among pregnant women occurred from 2020 to 2022. 2023, there will be a dramatic drop, probably due to a lack of registration and because the year has yet to end.</w:t>
      </w:r>
    </w:p>
    <w:p w14:paraId="7F62D80E" w14:textId="77777777" w:rsidR="000D7AEC" w:rsidRPr="00D31361" w:rsidRDefault="00000000" w:rsidP="00D31361">
      <w:pPr>
        <w:spacing w:after="160" w:line="360" w:lineRule="auto"/>
        <w:ind w:left="0" w:right="0" w:firstLine="0"/>
        <w:jc w:val="both"/>
        <w:rPr>
          <w:rFonts w:ascii="Calibri" w:hAnsi="Calibri" w:cs="Calibri"/>
          <w:b/>
          <w:bCs/>
          <w:szCs w:val="24"/>
        </w:rPr>
      </w:pPr>
      <w:r w:rsidRPr="00D31361">
        <w:rPr>
          <w:rFonts w:ascii="Calibri" w:hAnsi="Calibri" w:cs="Calibri"/>
          <w:b/>
          <w:bCs/>
          <w:szCs w:val="24"/>
        </w:rPr>
        <w:br w:type="page"/>
      </w:r>
    </w:p>
    <w:p w14:paraId="0E07811B" w14:textId="77777777" w:rsidR="00D42FD1" w:rsidRPr="00D31361" w:rsidRDefault="00000000" w:rsidP="00D31361">
      <w:pPr>
        <w:spacing w:after="58" w:line="360" w:lineRule="auto"/>
        <w:ind w:left="0" w:right="469" w:firstLine="0"/>
        <w:jc w:val="both"/>
        <w:rPr>
          <w:rFonts w:ascii="Calibri" w:hAnsi="Calibri" w:cs="Calibri"/>
          <w:bCs/>
          <w:szCs w:val="24"/>
        </w:rPr>
      </w:pPr>
      <w:r w:rsidRPr="00D31361">
        <w:rPr>
          <w:rFonts w:ascii="Calibri" w:hAnsi="Calibri" w:cs="Calibri"/>
          <w:b/>
          <w:bCs/>
          <w:szCs w:val="24"/>
        </w:rPr>
        <w:lastRenderedPageBreak/>
        <w:t>Cases by Hospitalization</w:t>
      </w:r>
    </w:p>
    <w:p w14:paraId="50F0B190" w14:textId="77777777" w:rsidR="00FF47F0" w:rsidRPr="00D31361" w:rsidRDefault="00000000" w:rsidP="00D31361">
      <w:pPr>
        <w:spacing w:after="58" w:line="360" w:lineRule="auto"/>
        <w:ind w:left="0" w:right="469" w:firstLine="0"/>
        <w:jc w:val="center"/>
        <w:rPr>
          <w:rFonts w:ascii="Calibri" w:hAnsi="Calibri" w:cs="Calibri"/>
          <w:bCs/>
          <w:szCs w:val="24"/>
        </w:rPr>
      </w:pPr>
      <w:r w:rsidRPr="00D31361">
        <w:rPr>
          <w:rFonts w:ascii="Calibri" w:hAnsi="Calibri" w:cs="Calibri"/>
          <w:noProof/>
          <w:szCs w:val="24"/>
        </w:rPr>
        <w:drawing>
          <wp:inline distT="0" distB="0" distL="0" distR="0" wp14:anchorId="51E58A5B" wp14:editId="6DF9A5F0">
            <wp:extent cx="4968875" cy="2743200"/>
            <wp:effectExtent l="0" t="0" r="9525" b="12700"/>
            <wp:docPr id="1541128661" name="Gráfico 1">
              <a:extLst xmlns:a="http://schemas.openxmlformats.org/drawingml/2006/main">
                <a:ext uri="{FF2B5EF4-FFF2-40B4-BE49-F238E27FC236}">
                  <a16:creationId xmlns:a16="http://schemas.microsoft.com/office/drawing/2014/main" id="{857AE41D-DD98-4E22-A5DF-63DCB0CF26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CD8C977" w14:textId="77777777" w:rsidR="00FF47F0" w:rsidRPr="00D31361" w:rsidRDefault="00000000" w:rsidP="00D31361">
      <w:pPr>
        <w:spacing w:after="58" w:line="360" w:lineRule="auto"/>
        <w:ind w:left="0" w:right="469" w:firstLine="0"/>
        <w:jc w:val="center"/>
        <w:rPr>
          <w:rFonts w:ascii="Calibri" w:hAnsi="Calibri" w:cs="Calibri"/>
          <w:bCs/>
          <w:szCs w:val="24"/>
        </w:rPr>
      </w:pPr>
      <w:r w:rsidRPr="00D31361">
        <w:rPr>
          <w:rFonts w:ascii="Calibri" w:hAnsi="Calibri" w:cs="Calibri"/>
          <w:bCs/>
          <w:szCs w:val="24"/>
        </w:rPr>
        <w:t>Chart</w:t>
      </w:r>
      <w:r w:rsidR="002652FB" w:rsidRPr="00D31361">
        <w:rPr>
          <w:rFonts w:ascii="Calibri" w:hAnsi="Calibri" w:cs="Calibri"/>
          <w:bCs/>
          <w:szCs w:val="24"/>
        </w:rPr>
        <w:t xml:space="preserve"> 5</w:t>
      </w:r>
      <w:r w:rsidRPr="00D31361">
        <w:rPr>
          <w:rFonts w:ascii="Calibri" w:hAnsi="Calibri" w:cs="Calibri"/>
          <w:bCs/>
          <w:szCs w:val="24"/>
        </w:rPr>
        <w:t>: visual representation of cases by hospitalization</w:t>
      </w:r>
      <w:r w:rsidR="002652FB" w:rsidRPr="00D31361">
        <w:rPr>
          <w:rFonts w:ascii="Calibri" w:hAnsi="Calibri" w:cs="Calibri"/>
          <w:bCs/>
          <w:szCs w:val="24"/>
        </w:rPr>
        <w:t>.</w:t>
      </w:r>
    </w:p>
    <w:p w14:paraId="63B5A023" w14:textId="77777777" w:rsidR="003661E1" w:rsidRPr="00D31361" w:rsidRDefault="00000000" w:rsidP="00D31361">
      <w:pPr>
        <w:spacing w:after="58" w:line="360" w:lineRule="auto"/>
        <w:ind w:left="0" w:right="469" w:firstLine="720"/>
        <w:jc w:val="both"/>
        <w:rPr>
          <w:rFonts w:ascii="Calibri" w:hAnsi="Calibri" w:cs="Calibri"/>
          <w:bCs/>
          <w:szCs w:val="24"/>
        </w:rPr>
      </w:pPr>
      <w:r w:rsidRPr="00D31361">
        <w:rPr>
          <w:rFonts w:ascii="Calibri" w:hAnsi="Calibri" w:cs="Calibri"/>
          <w:bCs/>
          <w:szCs w:val="24"/>
        </w:rPr>
        <w:t xml:space="preserve">The clustered column chart </w:t>
      </w:r>
      <w:r w:rsidR="002B3A87" w:rsidRPr="00D31361">
        <w:rPr>
          <w:rFonts w:ascii="Calibri" w:hAnsi="Calibri" w:cs="Calibri"/>
          <w:bCs/>
          <w:szCs w:val="24"/>
        </w:rPr>
        <w:t xml:space="preserve">compares the number of cases </w:t>
      </w:r>
      <w:proofErr w:type="gramStart"/>
      <w:r w:rsidR="002B3A87" w:rsidRPr="00D31361">
        <w:rPr>
          <w:rFonts w:ascii="Calibri" w:hAnsi="Calibri" w:cs="Calibri"/>
          <w:bCs/>
          <w:szCs w:val="24"/>
        </w:rPr>
        <w:t>by</w:t>
      </w:r>
      <w:proofErr w:type="gramEnd"/>
      <w:r w:rsidR="002B3A87" w:rsidRPr="00D31361">
        <w:rPr>
          <w:rFonts w:ascii="Calibri" w:hAnsi="Calibri" w:cs="Calibri"/>
          <w:bCs/>
          <w:szCs w:val="24"/>
        </w:rPr>
        <w:t xml:space="preserve"> hospitalization. The data was grouped into two and coded using </w:t>
      </w:r>
      <w:r w:rsidR="00313979" w:rsidRPr="00D31361">
        <w:rPr>
          <w:rFonts w:ascii="Calibri" w:hAnsi="Calibri" w:cs="Calibri"/>
          <w:bCs/>
          <w:szCs w:val="24"/>
        </w:rPr>
        <w:t>numbers</w:t>
      </w:r>
      <w:r w:rsidR="002B3A87" w:rsidRPr="00D31361">
        <w:rPr>
          <w:rFonts w:ascii="Calibri" w:hAnsi="Calibri" w:cs="Calibri"/>
          <w:bCs/>
          <w:szCs w:val="24"/>
        </w:rPr>
        <w:t xml:space="preserve"> 1 and 2, where 1 represented malaria cases that led to hospitalization and two represented cases that didn't. From the chart above, the highest number of cases that led to hospitalization and those that did not </w:t>
      </w:r>
      <w:proofErr w:type="gramStart"/>
      <w:r w:rsidR="002B3A87" w:rsidRPr="00D31361">
        <w:rPr>
          <w:rFonts w:ascii="Calibri" w:hAnsi="Calibri" w:cs="Calibri"/>
          <w:bCs/>
          <w:szCs w:val="24"/>
        </w:rPr>
        <w:t>was</w:t>
      </w:r>
      <w:proofErr w:type="gramEnd"/>
      <w:r w:rsidR="002B3A87" w:rsidRPr="00D31361">
        <w:rPr>
          <w:rFonts w:ascii="Calibri" w:hAnsi="Calibri" w:cs="Calibri"/>
          <w:bCs/>
          <w:szCs w:val="24"/>
        </w:rPr>
        <w:t xml:space="preserve"> recorded in 2022.</w:t>
      </w:r>
    </w:p>
    <w:p w14:paraId="49CD4A9C" w14:textId="77777777" w:rsidR="00737C2F" w:rsidRPr="00D31361" w:rsidRDefault="00737C2F" w:rsidP="00D31361">
      <w:pPr>
        <w:spacing w:after="58" w:line="360" w:lineRule="auto"/>
        <w:ind w:left="0" w:right="469" w:firstLine="0"/>
        <w:jc w:val="both"/>
        <w:rPr>
          <w:rFonts w:ascii="Calibri" w:hAnsi="Calibri" w:cs="Calibri"/>
          <w:bCs/>
          <w:szCs w:val="24"/>
        </w:rPr>
      </w:pPr>
    </w:p>
    <w:p w14:paraId="63B43217" w14:textId="77777777" w:rsidR="00737C2F" w:rsidRPr="00D31361" w:rsidRDefault="00000000" w:rsidP="00D31361">
      <w:pPr>
        <w:spacing w:after="58" w:line="360" w:lineRule="auto"/>
        <w:ind w:left="0" w:right="469" w:firstLine="0"/>
        <w:jc w:val="both"/>
        <w:rPr>
          <w:rFonts w:ascii="Calibri" w:hAnsi="Calibri" w:cs="Calibri"/>
          <w:b/>
          <w:bCs/>
          <w:szCs w:val="24"/>
        </w:rPr>
      </w:pPr>
      <w:r w:rsidRPr="00D31361">
        <w:rPr>
          <w:rFonts w:ascii="Calibri" w:hAnsi="Calibri" w:cs="Calibri"/>
          <w:b/>
          <w:bCs/>
          <w:szCs w:val="24"/>
        </w:rPr>
        <w:t>Cases by Age Group</w:t>
      </w:r>
    </w:p>
    <w:p w14:paraId="12F27A05" w14:textId="77777777" w:rsidR="004932FC" w:rsidRPr="00D31361" w:rsidRDefault="00000000" w:rsidP="00D31361">
      <w:pPr>
        <w:spacing w:after="58" w:line="360" w:lineRule="auto"/>
        <w:ind w:left="0" w:right="469" w:firstLine="0"/>
        <w:jc w:val="center"/>
        <w:rPr>
          <w:rFonts w:ascii="Calibri" w:hAnsi="Calibri" w:cs="Calibri"/>
          <w:bCs/>
          <w:szCs w:val="24"/>
        </w:rPr>
      </w:pPr>
      <w:r w:rsidRPr="00D31361">
        <w:rPr>
          <w:rFonts w:ascii="Calibri" w:hAnsi="Calibri" w:cs="Calibri"/>
          <w:noProof/>
          <w:szCs w:val="24"/>
        </w:rPr>
        <w:drawing>
          <wp:inline distT="0" distB="0" distL="0" distR="0" wp14:anchorId="1D5FE313" wp14:editId="0296FF30">
            <wp:extent cx="5626100" cy="2647950"/>
            <wp:effectExtent l="0" t="0" r="12700" b="12700"/>
            <wp:docPr id="1580591172" name="Gráfico 1">
              <a:extLst xmlns:a="http://schemas.openxmlformats.org/drawingml/2006/main">
                <a:ext uri="{FF2B5EF4-FFF2-40B4-BE49-F238E27FC236}">
                  <a16:creationId xmlns:a16="http://schemas.microsoft.com/office/drawing/2014/main" id="{27819982-1CD0-02A7-9C09-2F55BEF0E8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B3FC73D" w14:textId="77777777" w:rsidR="004932FC" w:rsidRPr="00D31361" w:rsidRDefault="00000000" w:rsidP="00D31361">
      <w:pPr>
        <w:spacing w:after="58" w:line="360" w:lineRule="auto"/>
        <w:ind w:left="0" w:right="469" w:firstLine="0"/>
        <w:jc w:val="center"/>
        <w:rPr>
          <w:rFonts w:ascii="Calibri" w:hAnsi="Calibri" w:cs="Calibri"/>
          <w:bCs/>
          <w:szCs w:val="24"/>
        </w:rPr>
      </w:pPr>
      <w:r w:rsidRPr="00D31361">
        <w:rPr>
          <w:rFonts w:ascii="Calibri" w:hAnsi="Calibri" w:cs="Calibri"/>
          <w:bCs/>
          <w:szCs w:val="24"/>
        </w:rPr>
        <w:t>Chart</w:t>
      </w:r>
      <w:r w:rsidR="002652FB" w:rsidRPr="00D31361">
        <w:rPr>
          <w:rFonts w:ascii="Calibri" w:hAnsi="Calibri" w:cs="Calibri"/>
          <w:bCs/>
          <w:szCs w:val="24"/>
        </w:rPr>
        <w:t xml:space="preserve"> 6</w:t>
      </w:r>
      <w:r w:rsidRPr="00D31361">
        <w:rPr>
          <w:rFonts w:ascii="Calibri" w:hAnsi="Calibri" w:cs="Calibri"/>
          <w:bCs/>
          <w:szCs w:val="24"/>
        </w:rPr>
        <w:t>: Classification of cases by age group</w:t>
      </w:r>
      <w:r w:rsidR="002652FB" w:rsidRPr="00D31361">
        <w:rPr>
          <w:rFonts w:ascii="Calibri" w:hAnsi="Calibri" w:cs="Calibri"/>
          <w:bCs/>
          <w:szCs w:val="24"/>
        </w:rPr>
        <w:t>.</w:t>
      </w:r>
    </w:p>
    <w:p w14:paraId="0CAA94EC" w14:textId="6C2ECBF2" w:rsidR="002B3A87" w:rsidRPr="00D31361" w:rsidRDefault="00000000" w:rsidP="001E38E2">
      <w:pPr>
        <w:spacing w:after="58" w:line="360" w:lineRule="auto"/>
        <w:ind w:left="0" w:right="469" w:firstLine="720"/>
        <w:jc w:val="both"/>
        <w:rPr>
          <w:rFonts w:ascii="Calibri" w:hAnsi="Calibri" w:cs="Calibri"/>
          <w:bCs/>
          <w:szCs w:val="24"/>
        </w:rPr>
      </w:pPr>
      <w:r w:rsidRPr="00D31361">
        <w:rPr>
          <w:rFonts w:ascii="Calibri" w:hAnsi="Calibri" w:cs="Calibri"/>
          <w:bCs/>
          <w:szCs w:val="24"/>
        </w:rPr>
        <w:lastRenderedPageBreak/>
        <w:t xml:space="preserve">The histogram above shows that the highest cases of Malaria reported in Colombia between 2015 and 2023 </w:t>
      </w:r>
      <w:r w:rsidR="00C11245" w:rsidRPr="00D31361">
        <w:rPr>
          <w:rFonts w:ascii="Calibri" w:hAnsi="Calibri" w:cs="Calibri"/>
          <w:bCs/>
          <w:szCs w:val="24"/>
        </w:rPr>
        <w:t>were</w:t>
      </w:r>
      <w:r w:rsidRPr="00D31361">
        <w:rPr>
          <w:rFonts w:ascii="Calibri" w:hAnsi="Calibri" w:cs="Calibri"/>
          <w:bCs/>
          <w:szCs w:val="24"/>
        </w:rPr>
        <w:t xml:space="preserve"> in </w:t>
      </w:r>
      <w:r w:rsidR="00C11245" w:rsidRPr="00D31361">
        <w:rPr>
          <w:rFonts w:ascii="Calibri" w:hAnsi="Calibri" w:cs="Calibri"/>
          <w:bCs/>
          <w:szCs w:val="24"/>
        </w:rPr>
        <w:t xml:space="preserve">the </w:t>
      </w:r>
      <w:r w:rsidRPr="00D31361">
        <w:rPr>
          <w:rFonts w:ascii="Calibri" w:hAnsi="Calibri" w:cs="Calibri"/>
          <w:bCs/>
          <w:szCs w:val="24"/>
        </w:rPr>
        <w:t xml:space="preserve">age group 11 – 20, closely followed by 0 to 10 years, while the least number of cases was recorded in </w:t>
      </w:r>
      <w:r w:rsidR="00C11245" w:rsidRPr="00D31361">
        <w:rPr>
          <w:rFonts w:ascii="Calibri" w:hAnsi="Calibri" w:cs="Calibri"/>
          <w:bCs/>
          <w:szCs w:val="24"/>
        </w:rPr>
        <w:t xml:space="preserve">the </w:t>
      </w:r>
      <w:r w:rsidRPr="00D31361">
        <w:rPr>
          <w:rFonts w:ascii="Calibri" w:hAnsi="Calibri" w:cs="Calibri"/>
          <w:bCs/>
          <w:szCs w:val="24"/>
        </w:rPr>
        <w:t>elderly aged 81 and above.</w:t>
      </w:r>
      <w:r w:rsidR="00164BCA" w:rsidRPr="00D31361">
        <w:rPr>
          <w:rFonts w:ascii="Calibri" w:hAnsi="Calibri" w:cs="Calibri"/>
          <w:bCs/>
          <w:szCs w:val="24"/>
        </w:rPr>
        <w:t xml:space="preserve"> This result confirms that </w:t>
      </w:r>
      <w:r w:rsidR="00E630F3" w:rsidRPr="00D31361">
        <w:rPr>
          <w:rFonts w:ascii="Calibri" w:hAnsi="Calibri" w:cs="Calibri"/>
          <w:bCs/>
          <w:szCs w:val="24"/>
        </w:rPr>
        <w:t>children and young adults are at higher risk of Malaria</w:t>
      </w:r>
      <w:r w:rsidR="006A5467" w:rsidRPr="00D31361">
        <w:rPr>
          <w:rFonts w:ascii="Calibri" w:hAnsi="Calibri" w:cs="Calibri"/>
          <w:bCs/>
          <w:szCs w:val="24"/>
        </w:rPr>
        <w:t>, as has been reported by other authors (Car</w:t>
      </w:r>
      <w:r w:rsidR="004475DF" w:rsidRPr="00D31361">
        <w:rPr>
          <w:rFonts w:ascii="Calibri" w:hAnsi="Calibri" w:cs="Calibri"/>
          <w:bCs/>
          <w:szCs w:val="24"/>
        </w:rPr>
        <w:t>do</w:t>
      </w:r>
      <w:r w:rsidR="006A5467" w:rsidRPr="00D31361">
        <w:rPr>
          <w:rFonts w:ascii="Calibri" w:hAnsi="Calibri" w:cs="Calibri"/>
          <w:bCs/>
          <w:szCs w:val="24"/>
        </w:rPr>
        <w:t>na-Arias, 2019)</w:t>
      </w:r>
      <w:r w:rsidR="00E630F3" w:rsidRPr="00D31361">
        <w:rPr>
          <w:rFonts w:ascii="Calibri" w:hAnsi="Calibri" w:cs="Calibri"/>
          <w:bCs/>
          <w:szCs w:val="24"/>
        </w:rPr>
        <w:t>.</w:t>
      </w:r>
    </w:p>
    <w:p w14:paraId="071FD357" w14:textId="77777777" w:rsidR="00801F21" w:rsidRPr="00D31361" w:rsidRDefault="00000000" w:rsidP="001E38E2">
      <w:pPr>
        <w:spacing w:after="58" w:line="360" w:lineRule="auto"/>
        <w:ind w:left="0" w:right="469" w:firstLine="0"/>
        <w:jc w:val="both"/>
        <w:rPr>
          <w:rFonts w:ascii="Calibri" w:hAnsi="Calibri" w:cs="Calibri"/>
          <w:b/>
          <w:bCs/>
          <w:szCs w:val="24"/>
        </w:rPr>
      </w:pPr>
      <w:r w:rsidRPr="00D31361">
        <w:rPr>
          <w:rFonts w:ascii="Calibri" w:hAnsi="Calibri" w:cs="Calibri"/>
          <w:b/>
          <w:bCs/>
          <w:szCs w:val="24"/>
        </w:rPr>
        <w:t>DATA TRANSFORMATION</w:t>
      </w:r>
    </w:p>
    <w:p w14:paraId="4AA57B01" w14:textId="2E3AFAE7" w:rsidR="00234348" w:rsidRPr="00D31361" w:rsidRDefault="00000000" w:rsidP="001E38E2">
      <w:pPr>
        <w:spacing w:after="58" w:line="360" w:lineRule="auto"/>
        <w:ind w:left="0" w:right="469" w:firstLine="720"/>
        <w:jc w:val="both"/>
        <w:rPr>
          <w:rFonts w:ascii="Calibri" w:hAnsi="Calibri" w:cs="Calibri"/>
          <w:b/>
          <w:bCs/>
          <w:szCs w:val="24"/>
        </w:rPr>
      </w:pPr>
      <w:r w:rsidRPr="00D31361">
        <w:rPr>
          <w:rFonts w:ascii="Calibri" w:hAnsi="Calibri" w:cs="Calibri"/>
          <w:szCs w:val="24"/>
        </w:rPr>
        <w:t xml:space="preserve">This </w:t>
      </w:r>
      <w:r w:rsidR="00C26E4A" w:rsidRPr="00D31361">
        <w:rPr>
          <w:rFonts w:ascii="Calibri" w:hAnsi="Calibri" w:cs="Calibri"/>
          <w:szCs w:val="24"/>
        </w:rPr>
        <w:t>Project is</w:t>
      </w:r>
      <w:r w:rsidRPr="00D31361">
        <w:rPr>
          <w:rFonts w:ascii="Calibri" w:hAnsi="Calibri" w:cs="Calibri"/>
          <w:szCs w:val="24"/>
        </w:rPr>
        <w:t xml:space="preserve"> based </w:t>
      </w:r>
      <w:r w:rsidR="00BC0EEA" w:rsidRPr="00D31361">
        <w:rPr>
          <w:rFonts w:ascii="Calibri" w:hAnsi="Calibri" w:cs="Calibri"/>
          <w:szCs w:val="24"/>
        </w:rPr>
        <w:t>on</w:t>
      </w:r>
      <w:r w:rsidRPr="00D31361">
        <w:rPr>
          <w:rFonts w:ascii="Calibri" w:hAnsi="Calibri" w:cs="Calibri"/>
          <w:szCs w:val="24"/>
        </w:rPr>
        <w:t xml:space="preserve"> a structural database</w:t>
      </w:r>
      <w:r w:rsidR="00C26E4A" w:rsidRPr="00D31361">
        <w:rPr>
          <w:rFonts w:ascii="Calibri" w:hAnsi="Calibri" w:cs="Calibri"/>
          <w:szCs w:val="24"/>
        </w:rPr>
        <w:t>,</w:t>
      </w:r>
      <w:r w:rsidRPr="00D31361">
        <w:rPr>
          <w:rFonts w:ascii="Calibri" w:hAnsi="Calibri" w:cs="Calibri"/>
          <w:szCs w:val="24"/>
        </w:rPr>
        <w:t xml:space="preserve"> as data was recognized by renaming, moving</w:t>
      </w:r>
      <w:r w:rsidR="00680D3D" w:rsidRPr="00D31361">
        <w:rPr>
          <w:rFonts w:ascii="Calibri" w:hAnsi="Calibri" w:cs="Calibri"/>
          <w:szCs w:val="24"/>
        </w:rPr>
        <w:t>,</w:t>
      </w:r>
      <w:r w:rsidRPr="00D31361">
        <w:rPr>
          <w:rFonts w:ascii="Calibri" w:hAnsi="Calibri" w:cs="Calibri"/>
          <w:szCs w:val="24"/>
        </w:rPr>
        <w:t xml:space="preserve"> or combining columns and techniques. The technique used was aggregation</w:t>
      </w:r>
      <w:r w:rsidR="00BC0EEA" w:rsidRPr="00D31361">
        <w:rPr>
          <w:rFonts w:ascii="Calibri" w:hAnsi="Calibri" w:cs="Calibri"/>
          <w:szCs w:val="24"/>
        </w:rPr>
        <w:t>,</w:t>
      </w:r>
      <w:r w:rsidR="001E38E2">
        <w:rPr>
          <w:rFonts w:ascii="Calibri" w:hAnsi="Calibri" w:cs="Calibri"/>
          <w:szCs w:val="24"/>
        </w:rPr>
        <w:t xml:space="preserve"> </w:t>
      </w:r>
      <w:r w:rsidRPr="00D31361">
        <w:rPr>
          <w:rFonts w:ascii="Calibri" w:hAnsi="Calibri" w:cs="Calibri"/>
          <w:szCs w:val="24"/>
        </w:rPr>
        <w:t xml:space="preserve">for accurate analysis and reporting. Some benefits of this data transformation technique </w:t>
      </w:r>
      <w:r w:rsidR="00D80BE5" w:rsidRPr="00D31361">
        <w:rPr>
          <w:rFonts w:ascii="Calibri" w:hAnsi="Calibri" w:cs="Calibri"/>
          <w:szCs w:val="24"/>
        </w:rPr>
        <w:t>are</w:t>
      </w:r>
      <w:r w:rsidRPr="00D31361">
        <w:rPr>
          <w:rFonts w:ascii="Calibri" w:hAnsi="Calibri" w:cs="Calibri"/>
          <w:szCs w:val="24"/>
        </w:rPr>
        <w:t xml:space="preserve"> that we could have better organization, improved data quality</w:t>
      </w:r>
      <w:r w:rsidR="00D80BE5" w:rsidRPr="00D31361">
        <w:rPr>
          <w:rFonts w:ascii="Calibri" w:hAnsi="Calibri" w:cs="Calibri"/>
          <w:szCs w:val="24"/>
        </w:rPr>
        <w:t>,</w:t>
      </w:r>
      <w:r w:rsidRPr="00D31361">
        <w:rPr>
          <w:rFonts w:ascii="Calibri" w:hAnsi="Calibri" w:cs="Calibri"/>
          <w:szCs w:val="24"/>
        </w:rPr>
        <w:t xml:space="preserve"> and </w:t>
      </w:r>
      <w:r w:rsidR="00D80BE5" w:rsidRPr="00D31361">
        <w:rPr>
          <w:rFonts w:ascii="Calibri" w:hAnsi="Calibri" w:cs="Calibri"/>
          <w:szCs w:val="24"/>
        </w:rPr>
        <w:t>simplified</w:t>
      </w:r>
      <w:r w:rsidRPr="00D31361">
        <w:rPr>
          <w:rFonts w:ascii="Calibri" w:hAnsi="Calibri" w:cs="Calibri"/>
          <w:szCs w:val="24"/>
        </w:rPr>
        <w:t xml:space="preserve"> data management.</w:t>
      </w:r>
    </w:p>
    <w:p w14:paraId="496CC096" w14:textId="77777777" w:rsidR="00440801" w:rsidRPr="00D31361" w:rsidRDefault="00000000" w:rsidP="001E38E2">
      <w:pPr>
        <w:spacing w:after="0" w:line="360" w:lineRule="auto"/>
        <w:ind w:left="0" w:right="0" w:firstLine="0"/>
        <w:jc w:val="both"/>
        <w:rPr>
          <w:rFonts w:ascii="Calibri" w:hAnsi="Calibri" w:cs="Calibri"/>
          <w:b/>
          <w:bCs/>
          <w:szCs w:val="24"/>
        </w:rPr>
      </w:pPr>
      <w:r w:rsidRPr="00D31361">
        <w:rPr>
          <w:rFonts w:ascii="Calibri" w:hAnsi="Calibri" w:cs="Calibri"/>
          <w:b/>
          <w:bCs/>
          <w:szCs w:val="24"/>
        </w:rPr>
        <w:t>DATA AUDIT</w:t>
      </w:r>
    </w:p>
    <w:p w14:paraId="651F7755" w14:textId="27B83FA5" w:rsidR="00C15265" w:rsidRPr="001E38E2" w:rsidRDefault="00000000" w:rsidP="001E38E2">
      <w:pPr>
        <w:spacing w:after="0" w:line="360" w:lineRule="auto"/>
        <w:ind w:left="0" w:right="0" w:firstLine="720"/>
        <w:jc w:val="both"/>
        <w:rPr>
          <w:rFonts w:ascii="Calibri" w:hAnsi="Calibri" w:cs="Calibri"/>
          <w:bCs/>
          <w:szCs w:val="24"/>
        </w:rPr>
      </w:pPr>
      <w:r w:rsidRPr="00D31361">
        <w:rPr>
          <w:rFonts w:ascii="Calibri" w:hAnsi="Calibri" w:cs="Calibri"/>
          <w:bCs/>
          <w:szCs w:val="24"/>
        </w:rPr>
        <w:t xml:space="preserve">The data obtained was audited prior to analysis because we needed to ascertain that it would meet our objectives. </w:t>
      </w:r>
      <w:r w:rsidR="006A01D4" w:rsidRPr="00D31361">
        <w:rPr>
          <w:rFonts w:ascii="Calibri" w:hAnsi="Calibri" w:cs="Calibri"/>
          <w:bCs/>
          <w:szCs w:val="24"/>
        </w:rPr>
        <w:t>This was done by checking to ensure that data for all years under review (2015 – 2023) were available,</w:t>
      </w:r>
      <w:r w:rsidRPr="00D31361">
        <w:rPr>
          <w:rFonts w:ascii="Calibri" w:hAnsi="Calibri" w:cs="Calibri"/>
          <w:bCs/>
          <w:szCs w:val="24"/>
        </w:rPr>
        <w:t xml:space="preserve"> after which</w:t>
      </w:r>
      <w:r w:rsidR="006A01D4" w:rsidRPr="00D31361">
        <w:rPr>
          <w:rFonts w:ascii="Calibri" w:hAnsi="Calibri" w:cs="Calibri"/>
          <w:bCs/>
          <w:szCs w:val="24"/>
        </w:rPr>
        <w:t xml:space="preserve"> data was cleaned, trimmed</w:t>
      </w:r>
      <w:r w:rsidR="002C13D2" w:rsidRPr="00D31361">
        <w:rPr>
          <w:rFonts w:ascii="Calibri" w:hAnsi="Calibri" w:cs="Calibri"/>
          <w:bCs/>
          <w:szCs w:val="24"/>
        </w:rPr>
        <w:t>,</w:t>
      </w:r>
      <w:r w:rsidR="006A01D4" w:rsidRPr="00D31361">
        <w:rPr>
          <w:rFonts w:ascii="Calibri" w:hAnsi="Calibri" w:cs="Calibri"/>
          <w:bCs/>
          <w:szCs w:val="24"/>
        </w:rPr>
        <w:t xml:space="preserve"> and made into a proper format fit for our analysis. Pivot tables were created for all variables analyzed to give insights into the details of the data available and spot</w:t>
      </w:r>
      <w:r w:rsidRPr="00D31361">
        <w:rPr>
          <w:rFonts w:ascii="Calibri" w:hAnsi="Calibri" w:cs="Calibri"/>
          <w:bCs/>
          <w:szCs w:val="24"/>
        </w:rPr>
        <w:t xml:space="preserve"> if there is</w:t>
      </w:r>
      <w:r w:rsidR="006A01D4" w:rsidRPr="00D31361">
        <w:rPr>
          <w:rFonts w:ascii="Calibri" w:hAnsi="Calibri" w:cs="Calibri"/>
          <w:bCs/>
          <w:szCs w:val="24"/>
        </w:rPr>
        <w:t xml:space="preserve"> </w:t>
      </w:r>
      <w:r w:rsidRPr="00D31361">
        <w:rPr>
          <w:rFonts w:ascii="Calibri" w:hAnsi="Calibri" w:cs="Calibri"/>
          <w:bCs/>
          <w:szCs w:val="24"/>
        </w:rPr>
        <w:t>presence of any abnormal value</w:t>
      </w:r>
      <w:r w:rsidR="006A01D4" w:rsidRPr="00D31361">
        <w:rPr>
          <w:rFonts w:ascii="Calibri" w:hAnsi="Calibri" w:cs="Calibri"/>
          <w:bCs/>
          <w:szCs w:val="24"/>
        </w:rPr>
        <w:t xml:space="preserve">. </w:t>
      </w:r>
      <w:r w:rsidRPr="00D31361">
        <w:rPr>
          <w:rFonts w:ascii="Calibri" w:hAnsi="Calibri" w:cs="Calibri"/>
          <w:bCs/>
          <w:szCs w:val="24"/>
        </w:rPr>
        <w:t xml:space="preserve">The cleaned data was </w:t>
      </w:r>
      <w:proofErr w:type="gramStart"/>
      <w:r w:rsidRPr="00D31361">
        <w:rPr>
          <w:rFonts w:ascii="Calibri" w:hAnsi="Calibri" w:cs="Calibri"/>
          <w:bCs/>
          <w:szCs w:val="24"/>
        </w:rPr>
        <w:t>analyzed</w:t>
      </w:r>
      <w:proofErr w:type="gramEnd"/>
      <w:r w:rsidRPr="00D31361">
        <w:rPr>
          <w:rFonts w:ascii="Calibri" w:hAnsi="Calibri" w:cs="Calibri"/>
          <w:bCs/>
          <w:szCs w:val="24"/>
        </w:rPr>
        <w:t xml:space="preserve"> and charts were drawn.</w:t>
      </w:r>
    </w:p>
    <w:p w14:paraId="0331F6BD" w14:textId="77777777" w:rsidR="00440801" w:rsidRPr="00D31361" w:rsidRDefault="00000000" w:rsidP="001E38E2">
      <w:pPr>
        <w:spacing w:after="0" w:line="360" w:lineRule="auto"/>
        <w:ind w:left="0" w:right="0" w:firstLine="0"/>
        <w:jc w:val="both"/>
        <w:rPr>
          <w:rFonts w:ascii="Calibri" w:hAnsi="Calibri" w:cs="Calibri"/>
          <w:b/>
          <w:bCs/>
          <w:szCs w:val="24"/>
        </w:rPr>
      </w:pPr>
      <w:r w:rsidRPr="00D31361">
        <w:rPr>
          <w:rFonts w:ascii="Calibri" w:hAnsi="Calibri" w:cs="Calibri"/>
          <w:b/>
          <w:bCs/>
          <w:szCs w:val="24"/>
        </w:rPr>
        <w:t>DATA DESIGN</w:t>
      </w:r>
    </w:p>
    <w:p w14:paraId="7BEF6454" w14:textId="626E5A9B" w:rsidR="00501954" w:rsidRPr="001E38E2" w:rsidRDefault="00000000" w:rsidP="001E38E2">
      <w:pPr>
        <w:spacing w:after="0" w:line="360" w:lineRule="auto"/>
        <w:ind w:left="0" w:right="0" w:firstLine="720"/>
        <w:jc w:val="both"/>
        <w:rPr>
          <w:rFonts w:ascii="Calibri" w:hAnsi="Calibri" w:cs="Calibri"/>
          <w:bCs/>
          <w:szCs w:val="24"/>
        </w:rPr>
      </w:pPr>
      <w:r w:rsidRPr="00D31361">
        <w:rPr>
          <w:rFonts w:ascii="Calibri" w:hAnsi="Calibri" w:cs="Calibri"/>
          <w:bCs/>
          <w:szCs w:val="24"/>
        </w:rPr>
        <w:t>For the data design of the present Project</w:t>
      </w:r>
      <w:r w:rsidR="004F41FF" w:rsidRPr="00D31361">
        <w:rPr>
          <w:rFonts w:ascii="Calibri" w:hAnsi="Calibri" w:cs="Calibri"/>
          <w:bCs/>
          <w:szCs w:val="24"/>
        </w:rPr>
        <w:t>, after gathering the datasets for each year, all of them were joined together in a single dataset</w:t>
      </w:r>
      <w:r w:rsidR="00E01A52" w:rsidRPr="00D31361">
        <w:rPr>
          <w:rFonts w:ascii="Calibri" w:hAnsi="Calibri" w:cs="Calibri"/>
          <w:bCs/>
          <w:szCs w:val="24"/>
        </w:rPr>
        <w:t xml:space="preserve">. </w:t>
      </w:r>
      <w:r w:rsidR="00B36228" w:rsidRPr="00D31361">
        <w:rPr>
          <w:rFonts w:ascii="Calibri" w:hAnsi="Calibri" w:cs="Calibri"/>
          <w:bCs/>
          <w:szCs w:val="24"/>
        </w:rPr>
        <w:t xml:space="preserve">All the variable names were translated from Spanish to </w:t>
      </w:r>
      <w:r w:rsidR="00001041" w:rsidRPr="00D31361">
        <w:rPr>
          <w:rFonts w:ascii="Calibri" w:hAnsi="Calibri" w:cs="Calibri"/>
          <w:bCs/>
          <w:szCs w:val="24"/>
        </w:rPr>
        <w:t>English,</w:t>
      </w:r>
      <w:r w:rsidR="00A632C9" w:rsidRPr="00D31361">
        <w:rPr>
          <w:rFonts w:ascii="Calibri" w:hAnsi="Calibri" w:cs="Calibri"/>
          <w:bCs/>
          <w:szCs w:val="24"/>
        </w:rPr>
        <w:t xml:space="preserve"> and s</w:t>
      </w:r>
      <w:r w:rsidR="00E01A52" w:rsidRPr="00D31361">
        <w:rPr>
          <w:rFonts w:ascii="Calibri" w:hAnsi="Calibri" w:cs="Calibri"/>
          <w:bCs/>
          <w:szCs w:val="24"/>
        </w:rPr>
        <w:t xml:space="preserve">everal variables were deleted for different reasons. For example, </w:t>
      </w:r>
      <w:r w:rsidR="00E6017C" w:rsidRPr="00D31361">
        <w:rPr>
          <w:rFonts w:ascii="Calibri" w:hAnsi="Calibri" w:cs="Calibri"/>
          <w:bCs/>
          <w:szCs w:val="24"/>
        </w:rPr>
        <w:t xml:space="preserve">it was not relevant for our purposes </w:t>
      </w:r>
      <w:r w:rsidR="00FB10BC" w:rsidRPr="00D31361">
        <w:rPr>
          <w:rFonts w:ascii="Calibri" w:hAnsi="Calibri" w:cs="Calibri"/>
          <w:bCs/>
          <w:szCs w:val="24"/>
        </w:rPr>
        <w:t>if the individual was in prison</w:t>
      </w:r>
      <w:r w:rsidR="006D35E0" w:rsidRPr="00D31361">
        <w:rPr>
          <w:rFonts w:ascii="Calibri" w:hAnsi="Calibri" w:cs="Calibri"/>
          <w:bCs/>
          <w:szCs w:val="24"/>
        </w:rPr>
        <w:t xml:space="preserve"> or a former </w:t>
      </w:r>
      <w:r w:rsidR="00A674D1" w:rsidRPr="00D31361">
        <w:rPr>
          <w:rFonts w:ascii="Calibri" w:hAnsi="Calibri" w:cs="Calibri"/>
          <w:bCs/>
          <w:szCs w:val="24"/>
        </w:rPr>
        <w:t>guerrilla</w:t>
      </w:r>
      <w:r w:rsidR="00D85E97" w:rsidRPr="00D31361">
        <w:rPr>
          <w:rFonts w:ascii="Calibri" w:hAnsi="Calibri" w:cs="Calibri"/>
          <w:bCs/>
          <w:szCs w:val="24"/>
        </w:rPr>
        <w:t>. Also, the Metadata sheet was created to explain the meaning of the codified values for each variable.</w:t>
      </w:r>
    </w:p>
    <w:p w14:paraId="29E8EF5D" w14:textId="77777777" w:rsidR="00440801" w:rsidRPr="00D31361" w:rsidRDefault="00000000" w:rsidP="001E38E2">
      <w:pPr>
        <w:spacing w:after="0" w:line="360" w:lineRule="auto"/>
        <w:ind w:left="0" w:right="0" w:firstLine="0"/>
        <w:jc w:val="both"/>
        <w:rPr>
          <w:rFonts w:ascii="Calibri" w:hAnsi="Calibri" w:cs="Calibri"/>
          <w:b/>
          <w:bCs/>
          <w:szCs w:val="24"/>
        </w:rPr>
      </w:pPr>
      <w:r w:rsidRPr="00D31361">
        <w:rPr>
          <w:rFonts w:ascii="Calibri" w:hAnsi="Calibri" w:cs="Calibri"/>
          <w:b/>
          <w:bCs/>
          <w:szCs w:val="24"/>
        </w:rPr>
        <w:t>A</w:t>
      </w:r>
      <w:r w:rsidR="002C6468" w:rsidRPr="00D31361">
        <w:rPr>
          <w:rFonts w:ascii="Calibri" w:hAnsi="Calibri" w:cs="Calibri"/>
          <w:b/>
          <w:bCs/>
          <w:szCs w:val="24"/>
        </w:rPr>
        <w:t>SSUMPTION</w:t>
      </w:r>
    </w:p>
    <w:p w14:paraId="68339E92" w14:textId="77777777" w:rsidR="00440801" w:rsidRPr="00D31361" w:rsidRDefault="00000000" w:rsidP="001E38E2">
      <w:pPr>
        <w:spacing w:after="0" w:line="360" w:lineRule="auto"/>
        <w:ind w:left="0" w:right="0" w:firstLine="720"/>
        <w:jc w:val="both"/>
        <w:rPr>
          <w:rFonts w:ascii="Calibri" w:hAnsi="Calibri" w:cs="Calibri"/>
          <w:szCs w:val="24"/>
        </w:rPr>
      </w:pPr>
      <w:r w:rsidRPr="00D31361">
        <w:rPr>
          <w:rFonts w:ascii="Calibri" w:hAnsi="Calibri" w:cs="Calibri"/>
          <w:szCs w:val="24"/>
        </w:rPr>
        <w:t xml:space="preserve">Given the data extracted from the </w:t>
      </w:r>
      <w:r w:rsidR="00724EF0" w:rsidRPr="00D31361">
        <w:rPr>
          <w:rFonts w:ascii="Calibri" w:hAnsi="Calibri" w:cs="Calibri"/>
          <w:szCs w:val="24"/>
        </w:rPr>
        <w:t>National Institute</w:t>
      </w:r>
      <w:r w:rsidRPr="00D31361">
        <w:rPr>
          <w:rFonts w:ascii="Calibri" w:hAnsi="Calibri" w:cs="Calibri"/>
          <w:szCs w:val="24"/>
        </w:rPr>
        <w:t xml:space="preserve"> of </w:t>
      </w:r>
      <w:r w:rsidR="00724EF0" w:rsidRPr="00D31361">
        <w:rPr>
          <w:rFonts w:ascii="Calibri" w:hAnsi="Calibri" w:cs="Calibri"/>
          <w:szCs w:val="24"/>
        </w:rPr>
        <w:t>H</w:t>
      </w:r>
      <w:r w:rsidRPr="00D31361">
        <w:rPr>
          <w:rFonts w:ascii="Calibri" w:hAnsi="Calibri" w:cs="Calibri"/>
          <w:szCs w:val="24"/>
        </w:rPr>
        <w:t>ealth of Colombia</w:t>
      </w:r>
      <w:r w:rsidR="00724EF0" w:rsidRPr="00D31361">
        <w:rPr>
          <w:rFonts w:ascii="Calibri" w:hAnsi="Calibri" w:cs="Calibri"/>
          <w:szCs w:val="24"/>
        </w:rPr>
        <w:t xml:space="preserve"> about the cases of Malaria between 2015 and 2023,</w:t>
      </w:r>
      <w:r w:rsidR="003D6BCF" w:rsidRPr="00D31361">
        <w:rPr>
          <w:rFonts w:ascii="Calibri" w:hAnsi="Calibri" w:cs="Calibri"/>
          <w:szCs w:val="24"/>
        </w:rPr>
        <w:t xml:space="preserve"> d</w:t>
      </w:r>
      <w:r w:rsidR="00C47FE2" w:rsidRPr="00D31361">
        <w:rPr>
          <w:rFonts w:ascii="Calibri" w:hAnsi="Calibri" w:cs="Calibri"/>
          <w:szCs w:val="24"/>
        </w:rPr>
        <w:t xml:space="preserve">espite the efforts made by The Ministry of Health, </w:t>
      </w:r>
      <w:r w:rsidR="002949EE" w:rsidRPr="00D31361">
        <w:rPr>
          <w:rFonts w:ascii="Calibri" w:hAnsi="Calibri" w:cs="Calibri"/>
          <w:szCs w:val="24"/>
        </w:rPr>
        <w:t xml:space="preserve">the cases have continued to increase </w:t>
      </w:r>
      <w:r w:rsidR="002D06EC" w:rsidRPr="00D31361">
        <w:rPr>
          <w:rFonts w:ascii="Calibri" w:hAnsi="Calibri" w:cs="Calibri"/>
          <w:szCs w:val="24"/>
        </w:rPr>
        <w:t>year by year</w:t>
      </w:r>
      <w:r w:rsidR="002949EE" w:rsidRPr="00D31361">
        <w:rPr>
          <w:rFonts w:ascii="Calibri" w:hAnsi="Calibri" w:cs="Calibri"/>
          <w:szCs w:val="24"/>
        </w:rPr>
        <w:t xml:space="preserve"> </w:t>
      </w:r>
      <w:r w:rsidR="002D06EC" w:rsidRPr="00D31361">
        <w:rPr>
          <w:rFonts w:ascii="Calibri" w:hAnsi="Calibri" w:cs="Calibri"/>
          <w:szCs w:val="24"/>
        </w:rPr>
        <w:t>and seem to continue growing in numbers.</w:t>
      </w:r>
      <w:r w:rsidR="00CC37A9" w:rsidRPr="00D31361">
        <w:rPr>
          <w:rFonts w:ascii="Calibri" w:hAnsi="Calibri" w:cs="Calibri"/>
          <w:szCs w:val="24"/>
        </w:rPr>
        <w:t xml:space="preserve"> </w:t>
      </w:r>
      <w:r w:rsidR="00DE7BC1" w:rsidRPr="00D31361">
        <w:rPr>
          <w:rFonts w:ascii="Calibri" w:hAnsi="Calibri" w:cs="Calibri"/>
          <w:szCs w:val="24"/>
        </w:rPr>
        <w:t>Although it is thought that the migration of people from Venezuela to Colombia</w:t>
      </w:r>
      <w:r w:rsidR="00BD304E" w:rsidRPr="00D31361">
        <w:rPr>
          <w:rFonts w:ascii="Calibri" w:hAnsi="Calibri" w:cs="Calibri"/>
          <w:szCs w:val="24"/>
        </w:rPr>
        <w:t xml:space="preserve"> was the main reason </w:t>
      </w:r>
      <w:r w:rsidR="009F7B76" w:rsidRPr="00D31361">
        <w:rPr>
          <w:rFonts w:ascii="Calibri" w:hAnsi="Calibri" w:cs="Calibri"/>
          <w:szCs w:val="24"/>
        </w:rPr>
        <w:t>for the</w:t>
      </w:r>
      <w:r w:rsidR="00E33AAD" w:rsidRPr="00D31361">
        <w:rPr>
          <w:rFonts w:ascii="Calibri" w:hAnsi="Calibri" w:cs="Calibri"/>
          <w:szCs w:val="24"/>
        </w:rPr>
        <w:t xml:space="preserve"> rise in the number of cases of Malaria in the country</w:t>
      </w:r>
      <w:r w:rsidR="00BD304E" w:rsidRPr="00D31361">
        <w:rPr>
          <w:rFonts w:ascii="Calibri" w:hAnsi="Calibri" w:cs="Calibri"/>
          <w:szCs w:val="24"/>
        </w:rPr>
        <w:t xml:space="preserve">, our data shows that </w:t>
      </w:r>
      <w:r w:rsidR="00936461" w:rsidRPr="00D31361">
        <w:rPr>
          <w:rFonts w:ascii="Calibri" w:hAnsi="Calibri" w:cs="Calibri"/>
          <w:szCs w:val="24"/>
        </w:rPr>
        <w:t xml:space="preserve">the </w:t>
      </w:r>
      <w:r w:rsidR="00206976" w:rsidRPr="00D31361">
        <w:rPr>
          <w:rFonts w:ascii="Calibri" w:hAnsi="Calibri" w:cs="Calibri"/>
          <w:szCs w:val="24"/>
        </w:rPr>
        <w:t xml:space="preserve">proportion of cases of migrants is deficient compared to </w:t>
      </w:r>
      <w:r w:rsidR="00E33AAD" w:rsidRPr="00D31361">
        <w:rPr>
          <w:rFonts w:ascii="Calibri" w:hAnsi="Calibri" w:cs="Calibri"/>
          <w:szCs w:val="24"/>
        </w:rPr>
        <w:t>the number of cases among Colombians</w:t>
      </w:r>
      <w:r w:rsidR="002E00BF" w:rsidRPr="00D31361">
        <w:rPr>
          <w:rFonts w:ascii="Calibri" w:hAnsi="Calibri" w:cs="Calibri"/>
          <w:szCs w:val="24"/>
        </w:rPr>
        <w:t xml:space="preserve">. </w:t>
      </w:r>
      <w:r w:rsidR="003A4862" w:rsidRPr="00D31361">
        <w:rPr>
          <w:rFonts w:ascii="Calibri" w:hAnsi="Calibri" w:cs="Calibri"/>
          <w:szCs w:val="24"/>
        </w:rPr>
        <w:t>A possible reason for this is th</w:t>
      </w:r>
      <w:r w:rsidR="003D64C5" w:rsidRPr="00D31361">
        <w:rPr>
          <w:rFonts w:ascii="Calibri" w:hAnsi="Calibri" w:cs="Calibri"/>
          <w:szCs w:val="24"/>
        </w:rPr>
        <w:t xml:space="preserve">at </w:t>
      </w:r>
      <w:r w:rsidR="00D1156D" w:rsidRPr="00D31361">
        <w:rPr>
          <w:rFonts w:ascii="Calibri" w:hAnsi="Calibri" w:cs="Calibri"/>
          <w:szCs w:val="24"/>
        </w:rPr>
        <w:lastRenderedPageBreak/>
        <w:t>Colombians, besides the migrant population,</w:t>
      </w:r>
      <w:r w:rsidR="003D64C5" w:rsidRPr="00D31361">
        <w:rPr>
          <w:rFonts w:ascii="Calibri" w:hAnsi="Calibri" w:cs="Calibri"/>
          <w:szCs w:val="24"/>
        </w:rPr>
        <w:t xml:space="preserve"> </w:t>
      </w:r>
      <w:r w:rsidR="00661DF9" w:rsidRPr="00D31361">
        <w:rPr>
          <w:rFonts w:ascii="Calibri" w:hAnsi="Calibri" w:cs="Calibri"/>
          <w:szCs w:val="24"/>
        </w:rPr>
        <w:t xml:space="preserve">might </w:t>
      </w:r>
      <w:r w:rsidR="00C51F7D" w:rsidRPr="00D31361">
        <w:rPr>
          <w:rFonts w:ascii="Calibri" w:hAnsi="Calibri" w:cs="Calibri"/>
          <w:szCs w:val="24"/>
        </w:rPr>
        <w:t xml:space="preserve">act as an enormous </w:t>
      </w:r>
      <w:r w:rsidR="00661DF9" w:rsidRPr="00D31361">
        <w:rPr>
          <w:rFonts w:ascii="Calibri" w:hAnsi="Calibri" w:cs="Calibri"/>
          <w:szCs w:val="24"/>
        </w:rPr>
        <w:t xml:space="preserve">reservoir </w:t>
      </w:r>
      <w:r w:rsidR="006C0153" w:rsidRPr="00D31361">
        <w:rPr>
          <w:rFonts w:ascii="Calibri" w:hAnsi="Calibri" w:cs="Calibri"/>
          <w:szCs w:val="24"/>
        </w:rPr>
        <w:t xml:space="preserve">where the mosquitoes </w:t>
      </w:r>
      <w:r w:rsidR="00C51F7D" w:rsidRPr="00D31361">
        <w:rPr>
          <w:rFonts w:ascii="Calibri" w:hAnsi="Calibri" w:cs="Calibri"/>
          <w:szCs w:val="24"/>
        </w:rPr>
        <w:t xml:space="preserve">get infected. </w:t>
      </w:r>
      <w:r w:rsidR="00056665" w:rsidRPr="00D31361">
        <w:rPr>
          <w:rFonts w:ascii="Calibri" w:hAnsi="Calibri" w:cs="Calibri"/>
          <w:szCs w:val="24"/>
        </w:rPr>
        <w:t xml:space="preserve">Also, </w:t>
      </w:r>
      <w:r w:rsidR="00294AA2" w:rsidRPr="00D31361">
        <w:rPr>
          <w:rFonts w:ascii="Calibri" w:hAnsi="Calibri" w:cs="Calibri"/>
          <w:szCs w:val="24"/>
        </w:rPr>
        <w:t>migrants may have</w:t>
      </w:r>
      <w:r w:rsidR="00056665" w:rsidRPr="00D31361">
        <w:rPr>
          <w:rFonts w:ascii="Calibri" w:hAnsi="Calibri" w:cs="Calibri"/>
          <w:szCs w:val="24"/>
        </w:rPr>
        <w:t xml:space="preserve"> increased the </w:t>
      </w:r>
      <w:r w:rsidR="00294AA2" w:rsidRPr="00D31361">
        <w:rPr>
          <w:rFonts w:ascii="Calibri" w:hAnsi="Calibri" w:cs="Calibri"/>
          <w:szCs w:val="24"/>
        </w:rPr>
        <w:t>number of cases</w:t>
      </w:r>
      <w:r w:rsidR="00056665" w:rsidRPr="00D31361">
        <w:rPr>
          <w:rFonts w:ascii="Calibri" w:hAnsi="Calibri" w:cs="Calibri"/>
          <w:szCs w:val="24"/>
        </w:rPr>
        <w:t xml:space="preserve"> as they </w:t>
      </w:r>
      <w:r w:rsidR="00E73AA7" w:rsidRPr="00D31361">
        <w:rPr>
          <w:rFonts w:ascii="Calibri" w:hAnsi="Calibri" w:cs="Calibri"/>
          <w:szCs w:val="24"/>
        </w:rPr>
        <w:t xml:space="preserve">mostly traveled on foot through Colombia, passing by </w:t>
      </w:r>
      <w:r w:rsidR="00A03601" w:rsidRPr="00D31361">
        <w:rPr>
          <w:rFonts w:ascii="Calibri" w:hAnsi="Calibri" w:cs="Calibri"/>
          <w:szCs w:val="24"/>
        </w:rPr>
        <w:t xml:space="preserve">endemic </w:t>
      </w:r>
      <w:r w:rsidR="00E73AA7" w:rsidRPr="00D31361">
        <w:rPr>
          <w:rFonts w:ascii="Calibri" w:hAnsi="Calibri" w:cs="Calibri"/>
          <w:szCs w:val="24"/>
        </w:rPr>
        <w:t xml:space="preserve">regions </w:t>
      </w:r>
      <w:r w:rsidR="00A03601" w:rsidRPr="00D31361">
        <w:rPr>
          <w:rFonts w:ascii="Calibri" w:hAnsi="Calibri" w:cs="Calibri"/>
          <w:szCs w:val="24"/>
        </w:rPr>
        <w:t>of Malaria</w:t>
      </w:r>
      <w:r w:rsidR="00057515" w:rsidRPr="00D31361">
        <w:rPr>
          <w:rFonts w:ascii="Calibri" w:hAnsi="Calibri" w:cs="Calibri"/>
          <w:szCs w:val="24"/>
        </w:rPr>
        <w:t>, where they could get infected</w:t>
      </w:r>
      <w:r w:rsidR="00A03601" w:rsidRPr="00D31361">
        <w:rPr>
          <w:rFonts w:ascii="Calibri" w:hAnsi="Calibri" w:cs="Calibri"/>
          <w:szCs w:val="24"/>
        </w:rPr>
        <w:t>.</w:t>
      </w:r>
    </w:p>
    <w:p w14:paraId="1F573470" w14:textId="16A9CFCF" w:rsidR="002B3A87" w:rsidRPr="00D31361" w:rsidRDefault="00000000" w:rsidP="001E38E2">
      <w:pPr>
        <w:spacing w:after="0" w:line="360" w:lineRule="auto"/>
        <w:ind w:left="0" w:right="0" w:firstLine="720"/>
        <w:jc w:val="both"/>
        <w:rPr>
          <w:rFonts w:ascii="Calibri" w:hAnsi="Calibri" w:cs="Calibri"/>
          <w:szCs w:val="24"/>
        </w:rPr>
      </w:pPr>
      <w:r w:rsidRPr="00D31361">
        <w:rPr>
          <w:rFonts w:ascii="Calibri" w:hAnsi="Calibri" w:cs="Calibri"/>
          <w:szCs w:val="24"/>
        </w:rPr>
        <w:t xml:space="preserve">On the other hand, </w:t>
      </w:r>
      <w:r w:rsidR="008158A7" w:rsidRPr="00D31361">
        <w:rPr>
          <w:rFonts w:ascii="Calibri" w:hAnsi="Calibri" w:cs="Calibri"/>
          <w:szCs w:val="24"/>
        </w:rPr>
        <w:t xml:space="preserve">groups like </w:t>
      </w:r>
      <w:r w:rsidR="00896B95" w:rsidRPr="00D31361">
        <w:rPr>
          <w:rFonts w:ascii="Calibri" w:hAnsi="Calibri" w:cs="Calibri"/>
          <w:szCs w:val="24"/>
        </w:rPr>
        <w:t>I</w:t>
      </w:r>
      <w:r w:rsidR="008158A7" w:rsidRPr="00D31361">
        <w:rPr>
          <w:rFonts w:ascii="Calibri" w:hAnsi="Calibri" w:cs="Calibri"/>
          <w:szCs w:val="24"/>
        </w:rPr>
        <w:t xml:space="preserve">ndigenous people and </w:t>
      </w:r>
      <w:r w:rsidR="00896B95" w:rsidRPr="00D31361">
        <w:rPr>
          <w:rFonts w:ascii="Calibri" w:hAnsi="Calibri" w:cs="Calibri"/>
          <w:szCs w:val="24"/>
        </w:rPr>
        <w:t>Afro</w:t>
      </w:r>
      <w:r w:rsidR="008158A7" w:rsidRPr="00D31361">
        <w:rPr>
          <w:rFonts w:ascii="Calibri" w:hAnsi="Calibri" w:cs="Calibri"/>
          <w:szCs w:val="24"/>
        </w:rPr>
        <w:t xml:space="preserve"> communities also </w:t>
      </w:r>
      <w:r w:rsidR="000771AD" w:rsidRPr="00D31361">
        <w:rPr>
          <w:rFonts w:ascii="Calibri" w:hAnsi="Calibri" w:cs="Calibri"/>
          <w:szCs w:val="24"/>
        </w:rPr>
        <w:t>showed a</w:t>
      </w:r>
      <w:r w:rsidR="002F0508" w:rsidRPr="00D31361">
        <w:rPr>
          <w:rFonts w:ascii="Calibri" w:hAnsi="Calibri" w:cs="Calibri"/>
          <w:szCs w:val="24"/>
        </w:rPr>
        <w:t xml:space="preserve"> </w:t>
      </w:r>
      <w:r w:rsidR="00825689" w:rsidRPr="00D31361">
        <w:rPr>
          <w:rFonts w:ascii="Calibri" w:hAnsi="Calibri" w:cs="Calibri"/>
          <w:szCs w:val="24"/>
        </w:rPr>
        <w:t>steadier</w:t>
      </w:r>
      <w:r w:rsidR="000771AD" w:rsidRPr="00D31361">
        <w:rPr>
          <w:rFonts w:ascii="Calibri" w:hAnsi="Calibri" w:cs="Calibri"/>
          <w:szCs w:val="24"/>
        </w:rPr>
        <w:t xml:space="preserve"> increment </w:t>
      </w:r>
      <w:r w:rsidR="00896B95" w:rsidRPr="00D31361">
        <w:rPr>
          <w:rFonts w:ascii="Calibri" w:hAnsi="Calibri" w:cs="Calibri"/>
          <w:szCs w:val="24"/>
        </w:rPr>
        <w:t>in</w:t>
      </w:r>
      <w:r w:rsidR="000771AD" w:rsidRPr="00D31361">
        <w:rPr>
          <w:rFonts w:ascii="Calibri" w:hAnsi="Calibri" w:cs="Calibri"/>
          <w:szCs w:val="24"/>
        </w:rPr>
        <w:t xml:space="preserve"> the number of cases </w:t>
      </w:r>
      <w:r w:rsidR="00896B95" w:rsidRPr="00D31361">
        <w:rPr>
          <w:rFonts w:ascii="Calibri" w:hAnsi="Calibri" w:cs="Calibri"/>
          <w:szCs w:val="24"/>
        </w:rPr>
        <w:t>of Malaria</w:t>
      </w:r>
      <w:r w:rsidR="00EA196B" w:rsidRPr="00D31361">
        <w:rPr>
          <w:rFonts w:ascii="Calibri" w:hAnsi="Calibri" w:cs="Calibri"/>
          <w:szCs w:val="24"/>
        </w:rPr>
        <w:t xml:space="preserve"> compared to the </w:t>
      </w:r>
      <w:r w:rsidR="00825689" w:rsidRPr="00D31361">
        <w:rPr>
          <w:rFonts w:ascii="Calibri" w:hAnsi="Calibri" w:cs="Calibri"/>
          <w:szCs w:val="24"/>
        </w:rPr>
        <w:t>“</w:t>
      </w:r>
      <w:r w:rsidR="00EA196B" w:rsidRPr="00D31361">
        <w:rPr>
          <w:rFonts w:ascii="Calibri" w:hAnsi="Calibri" w:cs="Calibri"/>
          <w:szCs w:val="24"/>
        </w:rPr>
        <w:t>Other</w:t>
      </w:r>
      <w:r w:rsidR="00825689" w:rsidRPr="00D31361">
        <w:rPr>
          <w:rFonts w:ascii="Calibri" w:hAnsi="Calibri" w:cs="Calibri"/>
          <w:szCs w:val="24"/>
        </w:rPr>
        <w:t>”</w:t>
      </w:r>
      <w:r w:rsidR="00EA196B" w:rsidRPr="00D31361">
        <w:rPr>
          <w:rFonts w:ascii="Calibri" w:hAnsi="Calibri" w:cs="Calibri"/>
          <w:szCs w:val="24"/>
        </w:rPr>
        <w:t xml:space="preserve"> population. This could </w:t>
      </w:r>
      <w:r w:rsidR="00825689" w:rsidRPr="00D31361">
        <w:rPr>
          <w:rFonts w:ascii="Calibri" w:hAnsi="Calibri" w:cs="Calibri"/>
          <w:szCs w:val="24"/>
        </w:rPr>
        <w:t>be explained</w:t>
      </w:r>
      <w:r w:rsidR="00EA196B" w:rsidRPr="00D31361">
        <w:rPr>
          <w:rFonts w:ascii="Calibri" w:hAnsi="Calibri" w:cs="Calibri"/>
          <w:szCs w:val="24"/>
        </w:rPr>
        <w:t xml:space="preserve"> by the fact that </w:t>
      </w:r>
      <w:r w:rsidR="00CC5730" w:rsidRPr="00D31361">
        <w:rPr>
          <w:rFonts w:ascii="Calibri" w:hAnsi="Calibri" w:cs="Calibri"/>
          <w:szCs w:val="24"/>
        </w:rPr>
        <w:t xml:space="preserve">migrants were mainly located in big cities, where </w:t>
      </w:r>
      <w:r w:rsidR="0000105A" w:rsidRPr="00D31361">
        <w:rPr>
          <w:rFonts w:ascii="Calibri" w:hAnsi="Calibri" w:cs="Calibri"/>
          <w:szCs w:val="24"/>
        </w:rPr>
        <w:t xml:space="preserve">the proportion of Indigenous and Afro communities is lower. At the same time, </w:t>
      </w:r>
      <w:r w:rsidR="00F646B0" w:rsidRPr="00D31361">
        <w:rPr>
          <w:rFonts w:ascii="Calibri" w:hAnsi="Calibri" w:cs="Calibri"/>
          <w:szCs w:val="24"/>
        </w:rPr>
        <w:t xml:space="preserve">major Indigenous and Afro communities </w:t>
      </w:r>
      <w:r w:rsidR="001E38E2" w:rsidRPr="00D31361">
        <w:rPr>
          <w:rFonts w:ascii="Calibri" w:hAnsi="Calibri" w:cs="Calibri"/>
          <w:szCs w:val="24"/>
        </w:rPr>
        <w:t>are in</w:t>
      </w:r>
      <w:r w:rsidR="00F646B0" w:rsidRPr="00D31361">
        <w:rPr>
          <w:rFonts w:ascii="Calibri" w:hAnsi="Calibri" w:cs="Calibri"/>
          <w:szCs w:val="24"/>
        </w:rPr>
        <w:t xml:space="preserve"> places with difficult access</w:t>
      </w:r>
      <w:r w:rsidR="009D3223" w:rsidRPr="00D31361">
        <w:rPr>
          <w:rFonts w:ascii="Calibri" w:hAnsi="Calibri" w:cs="Calibri"/>
          <w:szCs w:val="24"/>
        </w:rPr>
        <w:t xml:space="preserve"> </w:t>
      </w:r>
      <w:r w:rsidR="00775E35" w:rsidRPr="00D31361">
        <w:rPr>
          <w:rFonts w:ascii="Calibri" w:hAnsi="Calibri" w:cs="Calibri"/>
          <w:szCs w:val="24"/>
        </w:rPr>
        <w:t xml:space="preserve">and </w:t>
      </w:r>
      <w:r w:rsidR="00615FEE" w:rsidRPr="00D31361">
        <w:rPr>
          <w:rFonts w:ascii="Calibri" w:hAnsi="Calibri" w:cs="Calibri"/>
          <w:szCs w:val="24"/>
        </w:rPr>
        <w:t xml:space="preserve">poor </w:t>
      </w:r>
      <w:r w:rsidR="009D3223" w:rsidRPr="00D31361">
        <w:rPr>
          <w:rFonts w:ascii="Calibri" w:hAnsi="Calibri" w:cs="Calibri"/>
          <w:szCs w:val="24"/>
        </w:rPr>
        <w:t xml:space="preserve">economic and social </w:t>
      </w:r>
      <w:r w:rsidR="00615FEE" w:rsidRPr="00D31361">
        <w:rPr>
          <w:rFonts w:ascii="Calibri" w:hAnsi="Calibri" w:cs="Calibri"/>
          <w:szCs w:val="24"/>
        </w:rPr>
        <w:t xml:space="preserve">conditions that </w:t>
      </w:r>
      <w:r w:rsidR="00BD0002" w:rsidRPr="00D31361">
        <w:rPr>
          <w:rFonts w:ascii="Calibri" w:hAnsi="Calibri" w:cs="Calibri"/>
          <w:szCs w:val="24"/>
        </w:rPr>
        <w:t xml:space="preserve">couldn’t represent </w:t>
      </w:r>
      <w:r w:rsidR="00775E35" w:rsidRPr="00D31361">
        <w:rPr>
          <w:rFonts w:ascii="Calibri" w:hAnsi="Calibri" w:cs="Calibri"/>
          <w:szCs w:val="24"/>
        </w:rPr>
        <w:t>an attractive place to settle as a migrant.</w:t>
      </w:r>
    </w:p>
    <w:p w14:paraId="6F8367A7" w14:textId="1B47945D" w:rsidR="00CC747B" w:rsidRPr="00D31361" w:rsidRDefault="00000000" w:rsidP="001E38E2">
      <w:pPr>
        <w:spacing w:after="0" w:line="360" w:lineRule="auto"/>
        <w:ind w:left="0" w:right="0" w:firstLine="720"/>
        <w:jc w:val="both"/>
        <w:rPr>
          <w:rFonts w:ascii="Calibri" w:hAnsi="Calibri" w:cs="Calibri"/>
          <w:szCs w:val="24"/>
        </w:rPr>
      </w:pPr>
      <w:r w:rsidRPr="00D31361">
        <w:rPr>
          <w:rFonts w:ascii="Calibri" w:hAnsi="Calibri" w:cs="Calibri"/>
          <w:szCs w:val="24"/>
        </w:rPr>
        <w:t xml:space="preserve">Finally, the age distribution of malaria cases in Colombia shows </w:t>
      </w:r>
      <w:r w:rsidR="000F258B" w:rsidRPr="00D31361">
        <w:rPr>
          <w:rFonts w:ascii="Calibri" w:hAnsi="Calibri" w:cs="Calibri"/>
          <w:szCs w:val="24"/>
        </w:rPr>
        <w:t xml:space="preserve">a </w:t>
      </w:r>
      <w:r w:rsidR="00716895" w:rsidRPr="00D31361">
        <w:rPr>
          <w:rFonts w:ascii="Calibri" w:hAnsi="Calibri" w:cs="Calibri"/>
          <w:szCs w:val="24"/>
        </w:rPr>
        <w:t xml:space="preserve">similar </w:t>
      </w:r>
      <w:r w:rsidR="000F258B" w:rsidRPr="00D31361">
        <w:rPr>
          <w:rFonts w:ascii="Calibri" w:hAnsi="Calibri" w:cs="Calibri"/>
          <w:szCs w:val="24"/>
        </w:rPr>
        <w:t xml:space="preserve">behavior </w:t>
      </w:r>
      <w:r w:rsidR="00716895" w:rsidRPr="00D31361">
        <w:rPr>
          <w:rFonts w:ascii="Calibri" w:hAnsi="Calibri" w:cs="Calibri"/>
          <w:szCs w:val="24"/>
        </w:rPr>
        <w:t xml:space="preserve">than in other countries where Malaria is also present. This means that </w:t>
      </w:r>
      <w:r w:rsidR="005F4CCD" w:rsidRPr="00D31361">
        <w:rPr>
          <w:rFonts w:ascii="Calibri" w:hAnsi="Calibri" w:cs="Calibri"/>
          <w:szCs w:val="24"/>
        </w:rPr>
        <w:t xml:space="preserve">young adults of working age are at higher risk </w:t>
      </w:r>
      <w:r w:rsidR="00B16075" w:rsidRPr="00D31361">
        <w:rPr>
          <w:rFonts w:ascii="Calibri" w:hAnsi="Calibri" w:cs="Calibri"/>
          <w:szCs w:val="24"/>
        </w:rPr>
        <w:t>of Malaria, as well as people with nocturnal habits and five years old and younger</w:t>
      </w:r>
      <w:r w:rsidR="00EA31AD" w:rsidRPr="00D31361">
        <w:rPr>
          <w:rFonts w:ascii="Calibri" w:hAnsi="Calibri" w:cs="Calibri"/>
          <w:szCs w:val="24"/>
        </w:rPr>
        <w:t xml:space="preserve"> children</w:t>
      </w:r>
      <w:r w:rsidR="004475DF" w:rsidRPr="00D31361">
        <w:rPr>
          <w:rFonts w:ascii="Calibri" w:hAnsi="Calibri" w:cs="Calibri"/>
          <w:szCs w:val="24"/>
        </w:rPr>
        <w:t xml:space="preserve"> (Cardona-Arias, 2019)</w:t>
      </w:r>
      <w:r w:rsidR="00EA31AD" w:rsidRPr="00D31361">
        <w:rPr>
          <w:rFonts w:ascii="Calibri" w:hAnsi="Calibri" w:cs="Calibri"/>
          <w:szCs w:val="24"/>
        </w:rPr>
        <w:t>. Young adults</w:t>
      </w:r>
      <w:r w:rsidR="00946A1E" w:rsidRPr="00D31361">
        <w:rPr>
          <w:rFonts w:ascii="Calibri" w:hAnsi="Calibri" w:cs="Calibri"/>
          <w:szCs w:val="24"/>
        </w:rPr>
        <w:t xml:space="preserve"> spend </w:t>
      </w:r>
      <w:r w:rsidR="004C22DA" w:rsidRPr="00D31361">
        <w:rPr>
          <w:rFonts w:ascii="Calibri" w:hAnsi="Calibri" w:cs="Calibri"/>
          <w:szCs w:val="24"/>
        </w:rPr>
        <w:t xml:space="preserve">more time outdoors and have a more active nightlife than older adults are more suspected to get </w:t>
      </w:r>
      <w:r w:rsidR="001E38E2">
        <w:rPr>
          <w:rFonts w:ascii="Calibri" w:hAnsi="Calibri" w:cs="Calibri"/>
          <w:szCs w:val="24"/>
        </w:rPr>
        <w:t>infected with M</w:t>
      </w:r>
      <w:r w:rsidR="004C22DA" w:rsidRPr="00D31361">
        <w:rPr>
          <w:rFonts w:ascii="Calibri" w:hAnsi="Calibri" w:cs="Calibri"/>
          <w:szCs w:val="24"/>
        </w:rPr>
        <w:t>alaria.</w:t>
      </w:r>
    </w:p>
    <w:p w14:paraId="1F2C7000" w14:textId="77777777" w:rsidR="002B3A87" w:rsidRPr="00D31361" w:rsidRDefault="00000000" w:rsidP="00D31361">
      <w:pPr>
        <w:spacing w:after="160" w:line="360" w:lineRule="auto"/>
        <w:ind w:left="0" w:right="0" w:firstLine="0"/>
        <w:jc w:val="both"/>
        <w:rPr>
          <w:rFonts w:ascii="Calibri" w:hAnsi="Calibri" w:cs="Calibri"/>
          <w:b/>
          <w:bCs/>
          <w:szCs w:val="24"/>
        </w:rPr>
      </w:pPr>
      <w:r w:rsidRPr="00D31361">
        <w:rPr>
          <w:rFonts w:ascii="Calibri" w:hAnsi="Calibri" w:cs="Calibri"/>
          <w:b/>
          <w:bCs/>
          <w:szCs w:val="24"/>
        </w:rPr>
        <w:br w:type="page"/>
      </w:r>
    </w:p>
    <w:p w14:paraId="06D16D12" w14:textId="77777777" w:rsidR="00CD2DF4" w:rsidRPr="00D31361" w:rsidRDefault="00000000" w:rsidP="00D31361">
      <w:pPr>
        <w:spacing w:after="0" w:line="360" w:lineRule="auto"/>
        <w:ind w:left="0" w:right="0" w:firstLine="0"/>
        <w:jc w:val="both"/>
        <w:rPr>
          <w:rFonts w:ascii="Calibri" w:hAnsi="Calibri" w:cs="Calibri"/>
          <w:b/>
          <w:bCs/>
          <w:szCs w:val="24"/>
          <w:lang w:val="es-DO"/>
        </w:rPr>
      </w:pPr>
      <w:r w:rsidRPr="00D31361">
        <w:rPr>
          <w:rFonts w:ascii="Calibri" w:hAnsi="Calibri" w:cs="Calibri"/>
          <w:b/>
          <w:bCs/>
          <w:szCs w:val="24"/>
          <w:lang w:val="es-DO"/>
        </w:rPr>
        <w:lastRenderedPageBreak/>
        <w:t>REFERENCES</w:t>
      </w:r>
    </w:p>
    <w:p w14:paraId="2B520071" w14:textId="77777777" w:rsidR="00484CBA" w:rsidRPr="00D31361" w:rsidRDefault="00484CBA" w:rsidP="00D31361">
      <w:pPr>
        <w:spacing w:after="0" w:line="360" w:lineRule="auto"/>
        <w:ind w:left="0" w:right="0" w:firstLine="0"/>
        <w:jc w:val="both"/>
        <w:rPr>
          <w:rFonts w:ascii="Calibri" w:hAnsi="Calibri" w:cs="Calibri"/>
          <w:szCs w:val="24"/>
          <w:lang w:val="es-ES"/>
        </w:rPr>
      </w:pPr>
    </w:p>
    <w:p w14:paraId="03E7ABAC" w14:textId="5F575926" w:rsidR="00756623" w:rsidRPr="00D31361" w:rsidRDefault="00000000" w:rsidP="00D31361">
      <w:pPr>
        <w:widowControl w:val="0"/>
        <w:autoSpaceDE w:val="0"/>
        <w:autoSpaceDN w:val="0"/>
        <w:adjustRightInd w:val="0"/>
        <w:spacing w:after="0" w:line="360" w:lineRule="auto"/>
        <w:ind w:left="480" w:hanging="480"/>
        <w:jc w:val="both"/>
        <w:rPr>
          <w:rFonts w:ascii="Calibri" w:hAnsi="Calibri" w:cs="Calibri"/>
          <w:szCs w:val="24"/>
        </w:rPr>
      </w:pPr>
      <w:r w:rsidRPr="00D31361">
        <w:rPr>
          <w:rFonts w:ascii="Calibri" w:hAnsi="Calibri" w:cs="Calibri"/>
          <w:szCs w:val="24"/>
          <w:lang w:val="es-CO"/>
        </w:rPr>
        <w:t xml:space="preserve">Arena, P. M., Corugedo, E. F., &amp; Yepez, J. G. y J. F. (n.d.). Los migrantes venezolanos brindan oportunidades económicas a América Latina. </w:t>
      </w:r>
      <w:r w:rsidRPr="00D31361">
        <w:rPr>
          <w:rFonts w:ascii="Calibri" w:hAnsi="Calibri" w:cs="Calibri"/>
          <w:szCs w:val="24"/>
        </w:rPr>
        <w:t xml:space="preserve">IMF. Retrieved December 9, 2023, from </w:t>
      </w:r>
      <w:proofErr w:type="gramStart"/>
      <w:r w:rsidR="00164BCA" w:rsidRPr="00D31361">
        <w:rPr>
          <w:rFonts w:ascii="Calibri" w:hAnsi="Calibri" w:cs="Calibri"/>
          <w:szCs w:val="24"/>
        </w:rPr>
        <w:t>https://www.imf.org/es/News/Articles/2022/12/06/cf-venezuelas-migrants-bring-economic-opportunity-to-latin-america</w:t>
      </w:r>
      <w:proofErr w:type="gramEnd"/>
    </w:p>
    <w:p w14:paraId="69B196EF" w14:textId="77777777" w:rsidR="00164BCA" w:rsidRPr="00D31361" w:rsidRDefault="00000000" w:rsidP="00D31361">
      <w:pPr>
        <w:widowControl w:val="0"/>
        <w:autoSpaceDE w:val="0"/>
        <w:autoSpaceDN w:val="0"/>
        <w:adjustRightInd w:val="0"/>
        <w:spacing w:after="0" w:line="360" w:lineRule="auto"/>
        <w:ind w:left="480" w:hanging="480"/>
        <w:jc w:val="both"/>
        <w:rPr>
          <w:rFonts w:ascii="Calibri" w:hAnsi="Calibri" w:cs="Calibri"/>
          <w:szCs w:val="24"/>
          <w:lang w:val="es-CO"/>
        </w:rPr>
      </w:pPr>
      <w:r w:rsidRPr="00D31361">
        <w:rPr>
          <w:rFonts w:ascii="Calibri" w:hAnsi="Calibri" w:cs="Calibri"/>
          <w:szCs w:val="24"/>
          <w:lang w:val="es-CO"/>
        </w:rPr>
        <w:t>Cardona-Arias, J. A., Salas-Zapata, W. A., &amp; Carmona-Fonseca, J. (2019). Determinación y determinantes sociales de la malaria: Revisión sistemática, 1980-2018. Revista Panamericana de Salud Pública, 43, e39. https://doi.org/10.26633/RPSP.2019.39</w:t>
      </w:r>
    </w:p>
    <w:p w14:paraId="5CF84A88" w14:textId="77777777" w:rsidR="002B3A87" w:rsidRPr="00D31361" w:rsidRDefault="00000000" w:rsidP="00D31361">
      <w:pPr>
        <w:widowControl w:val="0"/>
        <w:autoSpaceDE w:val="0"/>
        <w:autoSpaceDN w:val="0"/>
        <w:adjustRightInd w:val="0"/>
        <w:spacing w:after="0" w:line="360" w:lineRule="auto"/>
        <w:ind w:left="480" w:hanging="480"/>
        <w:jc w:val="both"/>
        <w:rPr>
          <w:rFonts w:ascii="Calibri" w:hAnsi="Calibri" w:cs="Calibri"/>
          <w:noProof/>
          <w:szCs w:val="24"/>
          <w:lang w:val="es-DO"/>
        </w:rPr>
      </w:pPr>
      <w:r w:rsidRPr="00D31361">
        <w:rPr>
          <w:rFonts w:ascii="Calibri" w:hAnsi="Calibri" w:cs="Calibri"/>
          <w:szCs w:val="24"/>
        </w:rPr>
        <w:fldChar w:fldCharType="begin" w:fldLock="1"/>
      </w:r>
      <w:r w:rsidRPr="00D31361">
        <w:rPr>
          <w:rFonts w:ascii="Calibri" w:hAnsi="Calibri" w:cs="Calibri"/>
          <w:szCs w:val="24"/>
          <w:lang w:val="es-DO"/>
        </w:rPr>
        <w:instrText xml:space="preserve">ADDIN Mendeley Bibliography CSL_BIBLIOGRAPHY </w:instrText>
      </w:r>
      <w:r w:rsidRPr="00D31361">
        <w:rPr>
          <w:rFonts w:ascii="Calibri" w:hAnsi="Calibri" w:cs="Calibri"/>
          <w:szCs w:val="24"/>
        </w:rPr>
        <w:fldChar w:fldCharType="separate"/>
      </w:r>
      <w:r w:rsidRPr="00D31361">
        <w:rPr>
          <w:rFonts w:ascii="Calibri" w:hAnsi="Calibri" w:cs="Calibri"/>
          <w:noProof/>
          <w:szCs w:val="24"/>
          <w:lang w:val="es-DO"/>
        </w:rPr>
        <w:t xml:space="preserve">Recht, J., Siqueira, A. M., Monteiro, W. M., Herrera, S. M., Herrera, S., &amp; Lacerda, M. V. G. (2017). Malaria in Brazil, Colombia, Peru and Venezuela: current challenges in malaria control and elimination. </w:t>
      </w:r>
      <w:r w:rsidRPr="00D31361">
        <w:rPr>
          <w:rFonts w:ascii="Calibri" w:hAnsi="Calibri" w:cs="Calibri"/>
          <w:i/>
          <w:iCs/>
          <w:noProof/>
          <w:szCs w:val="24"/>
          <w:lang w:val="es-DO"/>
        </w:rPr>
        <w:t>Malaria Journal 2017 16:1</w:t>
      </w:r>
      <w:r w:rsidRPr="00D31361">
        <w:rPr>
          <w:rFonts w:ascii="Calibri" w:hAnsi="Calibri" w:cs="Calibri"/>
          <w:noProof/>
          <w:szCs w:val="24"/>
          <w:lang w:val="es-DO"/>
        </w:rPr>
        <w:t xml:space="preserve">, </w:t>
      </w:r>
      <w:r w:rsidRPr="00D31361">
        <w:rPr>
          <w:rFonts w:ascii="Calibri" w:hAnsi="Calibri" w:cs="Calibri"/>
          <w:i/>
          <w:iCs/>
          <w:noProof/>
          <w:szCs w:val="24"/>
          <w:lang w:val="es-DO"/>
        </w:rPr>
        <w:t>16</w:t>
      </w:r>
      <w:r w:rsidRPr="00D31361">
        <w:rPr>
          <w:rFonts w:ascii="Calibri" w:hAnsi="Calibri" w:cs="Calibri"/>
          <w:noProof/>
          <w:szCs w:val="24"/>
          <w:lang w:val="es-DO"/>
        </w:rPr>
        <w:t>(1), 1–18. https://doi.org/10.1186/S12936-017-1925-6</w:t>
      </w:r>
    </w:p>
    <w:p w14:paraId="3C5018FA" w14:textId="77777777" w:rsidR="002B3A87" w:rsidRPr="00D31361" w:rsidRDefault="00000000" w:rsidP="00D31361">
      <w:pPr>
        <w:widowControl w:val="0"/>
        <w:autoSpaceDE w:val="0"/>
        <w:autoSpaceDN w:val="0"/>
        <w:adjustRightInd w:val="0"/>
        <w:spacing w:after="0" w:line="360" w:lineRule="auto"/>
        <w:ind w:left="480" w:hanging="480"/>
        <w:jc w:val="both"/>
        <w:rPr>
          <w:rFonts w:ascii="Calibri" w:hAnsi="Calibri" w:cs="Calibri"/>
          <w:noProof/>
          <w:szCs w:val="24"/>
        </w:rPr>
      </w:pPr>
      <w:r w:rsidRPr="00D31361">
        <w:rPr>
          <w:rFonts w:ascii="Calibri" w:hAnsi="Calibri" w:cs="Calibri"/>
          <w:noProof/>
          <w:szCs w:val="24"/>
        </w:rPr>
        <w:t xml:space="preserve">Rogerson, S. J. (2017). Management of Malaria in pregnancy. </w:t>
      </w:r>
      <w:r w:rsidRPr="00D31361">
        <w:rPr>
          <w:rFonts w:ascii="Calibri" w:hAnsi="Calibri" w:cs="Calibri"/>
          <w:i/>
          <w:iCs/>
          <w:noProof/>
          <w:szCs w:val="24"/>
        </w:rPr>
        <w:t>The Indian Journal of Medical Research</w:t>
      </w:r>
      <w:r w:rsidRPr="00D31361">
        <w:rPr>
          <w:rFonts w:ascii="Calibri" w:hAnsi="Calibri" w:cs="Calibri"/>
          <w:noProof/>
          <w:szCs w:val="24"/>
        </w:rPr>
        <w:t xml:space="preserve">, </w:t>
      </w:r>
      <w:r w:rsidRPr="00D31361">
        <w:rPr>
          <w:rFonts w:ascii="Calibri" w:hAnsi="Calibri" w:cs="Calibri"/>
          <w:i/>
          <w:iCs/>
          <w:noProof/>
          <w:szCs w:val="24"/>
        </w:rPr>
        <w:t>146</w:t>
      </w:r>
      <w:r w:rsidRPr="00D31361">
        <w:rPr>
          <w:rFonts w:ascii="Calibri" w:hAnsi="Calibri" w:cs="Calibri"/>
          <w:noProof/>
          <w:szCs w:val="24"/>
        </w:rPr>
        <w:t>(3), 328. https://doi.org/10.4103/IJMR.IJMR_1304_17</w:t>
      </w:r>
    </w:p>
    <w:p w14:paraId="67DAF2EE" w14:textId="7101A948" w:rsidR="008424D1" w:rsidRPr="00D31361" w:rsidRDefault="00000000" w:rsidP="00D31361">
      <w:pPr>
        <w:spacing w:after="0" w:line="360" w:lineRule="auto"/>
        <w:ind w:left="879" w:right="0" w:hanging="720"/>
        <w:jc w:val="both"/>
        <w:rPr>
          <w:rFonts w:ascii="Calibri" w:hAnsi="Calibri" w:cs="Calibri"/>
          <w:szCs w:val="24"/>
          <w:lang w:val="es-CO"/>
        </w:rPr>
      </w:pPr>
      <w:r w:rsidRPr="00D31361">
        <w:rPr>
          <w:rFonts w:ascii="Calibri" w:hAnsi="Calibri" w:cs="Calibri"/>
          <w:szCs w:val="24"/>
        </w:rPr>
        <w:fldChar w:fldCharType="end"/>
      </w:r>
      <w:r w:rsidR="003355CA" w:rsidRPr="00D31361">
        <w:rPr>
          <w:rFonts w:ascii="Calibri" w:hAnsi="Calibri" w:cs="Calibri"/>
          <w:szCs w:val="24"/>
          <w:lang w:val="es-CO"/>
        </w:rPr>
        <w:t xml:space="preserve">Rocha, J. O. (2020, August 19). Las etnias y la pandemia en Colombia [Text]. Universidad de los Andes - Colombia - Sitio oficial. </w:t>
      </w:r>
      <w:r w:rsidR="00092CF7" w:rsidRPr="00D31361">
        <w:rPr>
          <w:rFonts w:ascii="Calibri" w:hAnsi="Calibri" w:cs="Calibri"/>
          <w:szCs w:val="24"/>
          <w:lang w:val="es-CO"/>
        </w:rPr>
        <w:t>https://uniandes.edu.co/es/noticias/economia-y-negocios/la-etnias-y-pandemia-en-colombia</w:t>
      </w:r>
    </w:p>
    <w:sectPr w:rsidR="008424D1" w:rsidRPr="00D31361" w:rsidSect="00FC337F">
      <w:footerReference w:type="default" r:id="rId14"/>
      <w:pgSz w:w="12240" w:h="15840"/>
      <w:pgMar w:top="1135" w:right="1145" w:bottom="1146" w:left="128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BB4D3" w14:textId="77777777" w:rsidR="00857528" w:rsidRDefault="00857528">
      <w:pPr>
        <w:spacing w:after="0" w:line="240" w:lineRule="auto"/>
      </w:pPr>
      <w:r>
        <w:separator/>
      </w:r>
    </w:p>
  </w:endnote>
  <w:endnote w:type="continuationSeparator" w:id="0">
    <w:p w14:paraId="04507B3D" w14:textId="77777777" w:rsidR="00857528" w:rsidRDefault="00857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060515"/>
      <w:docPartObj>
        <w:docPartGallery w:val="Page Numbers (Bottom of Page)"/>
        <w:docPartUnique/>
      </w:docPartObj>
    </w:sdtPr>
    <w:sdtEndPr>
      <w:rPr>
        <w:noProof/>
      </w:rPr>
    </w:sdtEndPr>
    <w:sdtContent>
      <w:p w14:paraId="4CC37847" w14:textId="77777777" w:rsidR="002B3A87" w:rsidRDefault="00000000">
        <w:pPr>
          <w:pStyle w:val="Footer"/>
          <w:jc w:val="right"/>
        </w:pPr>
        <w:r>
          <w:fldChar w:fldCharType="begin"/>
        </w:r>
        <w:r>
          <w:instrText xml:space="preserve"> PAGE   \* MERGEFORMAT </w:instrText>
        </w:r>
        <w:r>
          <w:fldChar w:fldCharType="separate"/>
        </w:r>
        <w:r w:rsidR="00234348">
          <w:rPr>
            <w:noProof/>
          </w:rPr>
          <w:t>8</w:t>
        </w:r>
        <w:r>
          <w:rPr>
            <w:noProof/>
          </w:rPr>
          <w:fldChar w:fldCharType="end"/>
        </w:r>
      </w:p>
    </w:sdtContent>
  </w:sdt>
  <w:p w14:paraId="01EA2812" w14:textId="77777777" w:rsidR="002B3A87" w:rsidRDefault="002B3A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62F5D" w14:textId="77777777" w:rsidR="00857528" w:rsidRDefault="00857528">
      <w:pPr>
        <w:spacing w:after="0" w:line="240" w:lineRule="auto"/>
      </w:pPr>
      <w:r>
        <w:separator/>
      </w:r>
    </w:p>
  </w:footnote>
  <w:footnote w:type="continuationSeparator" w:id="0">
    <w:p w14:paraId="65BD45C3" w14:textId="77777777" w:rsidR="00857528" w:rsidRDefault="008575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E0MjUyMjQxNjWwNDBR0lEKTi0uzszPAykwqgUAOu+QBywAAAA="/>
  </w:docVars>
  <w:rsids>
    <w:rsidRoot w:val="00CD2DF4"/>
    <w:rsid w:val="00001041"/>
    <w:rsid w:val="0000105A"/>
    <w:rsid w:val="00007F4D"/>
    <w:rsid w:val="000345EE"/>
    <w:rsid w:val="00040643"/>
    <w:rsid w:val="00056665"/>
    <w:rsid w:val="00057515"/>
    <w:rsid w:val="000771AD"/>
    <w:rsid w:val="00092CF7"/>
    <w:rsid w:val="0009321D"/>
    <w:rsid w:val="00097FD7"/>
    <w:rsid w:val="000A0109"/>
    <w:rsid w:val="000A1F43"/>
    <w:rsid w:val="000A4FC0"/>
    <w:rsid w:val="000B24FB"/>
    <w:rsid w:val="000D513E"/>
    <w:rsid w:val="000D7AEC"/>
    <w:rsid w:val="000F165F"/>
    <w:rsid w:val="000F258B"/>
    <w:rsid w:val="001120AA"/>
    <w:rsid w:val="00123CE1"/>
    <w:rsid w:val="00160809"/>
    <w:rsid w:val="00164BCA"/>
    <w:rsid w:val="001A491F"/>
    <w:rsid w:val="001B0721"/>
    <w:rsid w:val="001D1745"/>
    <w:rsid w:val="001E38E2"/>
    <w:rsid w:val="0020444E"/>
    <w:rsid w:val="00206976"/>
    <w:rsid w:val="00234348"/>
    <w:rsid w:val="00236A8A"/>
    <w:rsid w:val="00244D9C"/>
    <w:rsid w:val="00263F38"/>
    <w:rsid w:val="002652FB"/>
    <w:rsid w:val="0026547B"/>
    <w:rsid w:val="00277460"/>
    <w:rsid w:val="00277BA6"/>
    <w:rsid w:val="002949EE"/>
    <w:rsid w:val="00294AA2"/>
    <w:rsid w:val="002B00F5"/>
    <w:rsid w:val="002B3A87"/>
    <w:rsid w:val="002B3B08"/>
    <w:rsid w:val="002C13D2"/>
    <w:rsid w:val="002C6468"/>
    <w:rsid w:val="002D06EC"/>
    <w:rsid w:val="002E00BF"/>
    <w:rsid w:val="002F0508"/>
    <w:rsid w:val="00312674"/>
    <w:rsid w:val="00313979"/>
    <w:rsid w:val="00317D69"/>
    <w:rsid w:val="00334DEC"/>
    <w:rsid w:val="003355CA"/>
    <w:rsid w:val="003661E1"/>
    <w:rsid w:val="003A4862"/>
    <w:rsid w:val="003B17B5"/>
    <w:rsid w:val="003D64C5"/>
    <w:rsid w:val="003D6BCF"/>
    <w:rsid w:val="003F65F1"/>
    <w:rsid w:val="00440801"/>
    <w:rsid w:val="004475DF"/>
    <w:rsid w:val="004617E1"/>
    <w:rsid w:val="00477297"/>
    <w:rsid w:val="00481EB1"/>
    <w:rsid w:val="00484CBA"/>
    <w:rsid w:val="004932FC"/>
    <w:rsid w:val="004C22DA"/>
    <w:rsid w:val="004C2D34"/>
    <w:rsid w:val="004E61EC"/>
    <w:rsid w:val="004F41FF"/>
    <w:rsid w:val="004F4F95"/>
    <w:rsid w:val="00501954"/>
    <w:rsid w:val="0050707D"/>
    <w:rsid w:val="00543124"/>
    <w:rsid w:val="00554970"/>
    <w:rsid w:val="00573573"/>
    <w:rsid w:val="005B333B"/>
    <w:rsid w:val="005E5990"/>
    <w:rsid w:val="005F4CCD"/>
    <w:rsid w:val="0061438B"/>
    <w:rsid w:val="00615FEE"/>
    <w:rsid w:val="00661DF9"/>
    <w:rsid w:val="00680D3D"/>
    <w:rsid w:val="006A01D4"/>
    <w:rsid w:val="006A5467"/>
    <w:rsid w:val="006B4070"/>
    <w:rsid w:val="006B594E"/>
    <w:rsid w:val="006C0153"/>
    <w:rsid w:val="006D35E0"/>
    <w:rsid w:val="0071464B"/>
    <w:rsid w:val="00716895"/>
    <w:rsid w:val="00724B58"/>
    <w:rsid w:val="00724EF0"/>
    <w:rsid w:val="007340DE"/>
    <w:rsid w:val="00737694"/>
    <w:rsid w:val="00737C2F"/>
    <w:rsid w:val="0075344A"/>
    <w:rsid w:val="00756623"/>
    <w:rsid w:val="00775E35"/>
    <w:rsid w:val="007A7285"/>
    <w:rsid w:val="007B6BAA"/>
    <w:rsid w:val="007C0B9F"/>
    <w:rsid w:val="007C4EF9"/>
    <w:rsid w:val="007C7326"/>
    <w:rsid w:val="007E2F7F"/>
    <w:rsid w:val="00801F21"/>
    <w:rsid w:val="00814FD3"/>
    <w:rsid w:val="008158A7"/>
    <w:rsid w:val="0081699B"/>
    <w:rsid w:val="008204CE"/>
    <w:rsid w:val="00822154"/>
    <w:rsid w:val="00825689"/>
    <w:rsid w:val="00832470"/>
    <w:rsid w:val="0084121A"/>
    <w:rsid w:val="008424D1"/>
    <w:rsid w:val="00852B66"/>
    <w:rsid w:val="00857528"/>
    <w:rsid w:val="008863C5"/>
    <w:rsid w:val="00896B95"/>
    <w:rsid w:val="008A5CB1"/>
    <w:rsid w:val="008B331F"/>
    <w:rsid w:val="008D2F4F"/>
    <w:rsid w:val="008F305A"/>
    <w:rsid w:val="0090394D"/>
    <w:rsid w:val="00905772"/>
    <w:rsid w:val="00917330"/>
    <w:rsid w:val="00926920"/>
    <w:rsid w:val="009344B1"/>
    <w:rsid w:val="00936461"/>
    <w:rsid w:val="00946A1E"/>
    <w:rsid w:val="009558B9"/>
    <w:rsid w:val="00994FED"/>
    <w:rsid w:val="00996C5A"/>
    <w:rsid w:val="009D3001"/>
    <w:rsid w:val="009D3223"/>
    <w:rsid w:val="009D6C6F"/>
    <w:rsid w:val="009F21B2"/>
    <w:rsid w:val="009F7B76"/>
    <w:rsid w:val="00A03601"/>
    <w:rsid w:val="00A228BB"/>
    <w:rsid w:val="00A34D92"/>
    <w:rsid w:val="00A561E0"/>
    <w:rsid w:val="00A56216"/>
    <w:rsid w:val="00A62C32"/>
    <w:rsid w:val="00A632C9"/>
    <w:rsid w:val="00A65099"/>
    <w:rsid w:val="00A674D1"/>
    <w:rsid w:val="00A93494"/>
    <w:rsid w:val="00A965C6"/>
    <w:rsid w:val="00AB64A8"/>
    <w:rsid w:val="00AB6D34"/>
    <w:rsid w:val="00AC0816"/>
    <w:rsid w:val="00AD71D5"/>
    <w:rsid w:val="00AE57BE"/>
    <w:rsid w:val="00AF1C2D"/>
    <w:rsid w:val="00AF45B9"/>
    <w:rsid w:val="00B077C3"/>
    <w:rsid w:val="00B12480"/>
    <w:rsid w:val="00B16075"/>
    <w:rsid w:val="00B36228"/>
    <w:rsid w:val="00B77FBF"/>
    <w:rsid w:val="00B8653A"/>
    <w:rsid w:val="00B8703A"/>
    <w:rsid w:val="00BB3540"/>
    <w:rsid w:val="00BB50BD"/>
    <w:rsid w:val="00BC0EEA"/>
    <w:rsid w:val="00BD0002"/>
    <w:rsid w:val="00BD304E"/>
    <w:rsid w:val="00BD5E86"/>
    <w:rsid w:val="00C11245"/>
    <w:rsid w:val="00C15265"/>
    <w:rsid w:val="00C26E4A"/>
    <w:rsid w:val="00C47FE2"/>
    <w:rsid w:val="00C51F7D"/>
    <w:rsid w:val="00C60493"/>
    <w:rsid w:val="00C6143D"/>
    <w:rsid w:val="00C72AF9"/>
    <w:rsid w:val="00C96C95"/>
    <w:rsid w:val="00C974AD"/>
    <w:rsid w:val="00CB757E"/>
    <w:rsid w:val="00CC1EBC"/>
    <w:rsid w:val="00CC37A9"/>
    <w:rsid w:val="00CC5730"/>
    <w:rsid w:val="00CC747B"/>
    <w:rsid w:val="00CD2DF4"/>
    <w:rsid w:val="00CE0CB6"/>
    <w:rsid w:val="00CF3F65"/>
    <w:rsid w:val="00D1156D"/>
    <w:rsid w:val="00D236D7"/>
    <w:rsid w:val="00D31361"/>
    <w:rsid w:val="00D42FD1"/>
    <w:rsid w:val="00D517A5"/>
    <w:rsid w:val="00D61A86"/>
    <w:rsid w:val="00D709D9"/>
    <w:rsid w:val="00D80BE5"/>
    <w:rsid w:val="00D85E97"/>
    <w:rsid w:val="00DE2B06"/>
    <w:rsid w:val="00DE69DD"/>
    <w:rsid w:val="00DE7BC1"/>
    <w:rsid w:val="00E01A52"/>
    <w:rsid w:val="00E05E44"/>
    <w:rsid w:val="00E33AAD"/>
    <w:rsid w:val="00E3725C"/>
    <w:rsid w:val="00E47001"/>
    <w:rsid w:val="00E6017C"/>
    <w:rsid w:val="00E630F3"/>
    <w:rsid w:val="00E73AA7"/>
    <w:rsid w:val="00EA0457"/>
    <w:rsid w:val="00EA196B"/>
    <w:rsid w:val="00EA31AD"/>
    <w:rsid w:val="00EA62F2"/>
    <w:rsid w:val="00EC7A42"/>
    <w:rsid w:val="00F01CEC"/>
    <w:rsid w:val="00F22443"/>
    <w:rsid w:val="00F4451E"/>
    <w:rsid w:val="00F463FA"/>
    <w:rsid w:val="00F646B0"/>
    <w:rsid w:val="00FB10BC"/>
    <w:rsid w:val="00FB55E1"/>
    <w:rsid w:val="00FC337F"/>
    <w:rsid w:val="00FE7465"/>
    <w:rsid w:val="00FF47F0"/>
    <w:rsid w:val="00FF4E7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FB344"/>
  <w15:docId w15:val="{028F6AD8-B75B-417A-AC98-D8912E8AB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0BD"/>
    <w:pPr>
      <w:spacing w:after="142" w:line="254" w:lineRule="auto"/>
      <w:ind w:left="144" w:right="132" w:firstLine="710"/>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BB50BD"/>
    <w:pPr>
      <w:keepNext/>
      <w:keepLines/>
      <w:spacing w:after="132"/>
      <w:ind w:left="154"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B50BD"/>
    <w:rPr>
      <w:rFonts w:ascii="Times New Roman" w:eastAsia="Times New Roman" w:hAnsi="Times New Roman" w:cs="Times New Roman"/>
      <w:b/>
      <w:color w:val="000000"/>
      <w:sz w:val="24"/>
    </w:rPr>
  </w:style>
  <w:style w:type="table" w:customStyle="1" w:styleId="TableGrid">
    <w:name w:val="TableGrid"/>
    <w:rsid w:val="00BB50B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424D1"/>
    <w:rPr>
      <w:color w:val="0563C1" w:themeColor="hyperlink"/>
      <w:u w:val="single"/>
    </w:rPr>
  </w:style>
  <w:style w:type="character" w:customStyle="1" w:styleId="UnresolvedMention1">
    <w:name w:val="Unresolved Mention1"/>
    <w:basedOn w:val="DefaultParagraphFont"/>
    <w:uiPriority w:val="99"/>
    <w:semiHidden/>
    <w:unhideWhenUsed/>
    <w:rsid w:val="008424D1"/>
    <w:rPr>
      <w:color w:val="605E5C"/>
      <w:shd w:val="clear" w:color="auto" w:fill="E1DFDD"/>
    </w:rPr>
  </w:style>
  <w:style w:type="character" w:customStyle="1" w:styleId="citationstylesgno2wrpf">
    <w:name w:val="citationstyles_gno2wrpf"/>
    <w:basedOn w:val="DefaultParagraphFont"/>
    <w:rsid w:val="008424D1"/>
  </w:style>
  <w:style w:type="character" w:styleId="Emphasis">
    <w:name w:val="Emphasis"/>
    <w:basedOn w:val="DefaultParagraphFont"/>
    <w:uiPriority w:val="20"/>
    <w:qFormat/>
    <w:rsid w:val="008424D1"/>
    <w:rPr>
      <w:i/>
      <w:iCs/>
    </w:rPr>
  </w:style>
  <w:style w:type="paragraph" w:styleId="ListParagraph">
    <w:name w:val="List Paragraph"/>
    <w:basedOn w:val="Normal"/>
    <w:uiPriority w:val="34"/>
    <w:qFormat/>
    <w:rsid w:val="00E47001"/>
    <w:pPr>
      <w:ind w:left="720"/>
      <w:contextualSpacing/>
    </w:pPr>
  </w:style>
  <w:style w:type="paragraph" w:styleId="Header">
    <w:name w:val="header"/>
    <w:basedOn w:val="Normal"/>
    <w:link w:val="HeaderChar"/>
    <w:uiPriority w:val="99"/>
    <w:unhideWhenUsed/>
    <w:rsid w:val="004772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297"/>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4772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297"/>
    <w:rPr>
      <w:rFonts w:ascii="Times New Roman" w:eastAsia="Times New Roman" w:hAnsi="Times New Roman" w:cs="Times New Roman"/>
      <w:color w:val="000000"/>
      <w:sz w:val="24"/>
    </w:rPr>
  </w:style>
  <w:style w:type="paragraph" w:styleId="BalloonText">
    <w:name w:val="Balloon Text"/>
    <w:basedOn w:val="Normal"/>
    <w:link w:val="BalloonTextChar"/>
    <w:uiPriority w:val="99"/>
    <w:semiHidden/>
    <w:unhideWhenUsed/>
    <w:rsid w:val="003B17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7B5"/>
    <w:rPr>
      <w:rFonts w:ascii="Tahoma" w:eastAsia="Times New Roman" w:hAnsi="Tahoma" w:cs="Tahoma"/>
      <w:color w:val="000000"/>
      <w:sz w:val="16"/>
      <w:szCs w:val="16"/>
    </w:rPr>
  </w:style>
  <w:style w:type="character" w:styleId="UnresolvedMention">
    <w:name w:val="Unresolved Mention"/>
    <w:basedOn w:val="DefaultParagraphFont"/>
    <w:uiPriority w:val="99"/>
    <w:semiHidden/>
    <w:unhideWhenUsed/>
    <w:rsid w:val="00092CF7"/>
    <w:rPr>
      <w:color w:val="605E5C"/>
      <w:shd w:val="clear" w:color="auto" w:fill="E1DFDD"/>
    </w:rPr>
  </w:style>
  <w:style w:type="paragraph" w:styleId="NoSpacing">
    <w:name w:val="No Spacing"/>
    <w:uiPriority w:val="1"/>
    <w:qFormat/>
    <w:rsid w:val="00D31361"/>
    <w:pPr>
      <w:spacing w:after="0" w:line="240" w:lineRule="auto"/>
      <w:ind w:left="144" w:right="132" w:firstLine="710"/>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https://mycambrian-my.sharepoint.com/personal/a00290412_mycambrian_ca/Documents/Classes/EXL1002_Dashboards%20and%20Data%20Analysis/Group%20Project/Shared_Group_Project/New_Folder/MALARIA_VIVAX_COLOMBIA_2015_202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mycambrian-my.sharepoint.com/personal/a00290412_mycambrian_ca/Documents/Classes/EXL1002_Dashboards%20and%20Data%20Analysis/Group%20Project/Shared_Group_Project/New_Folder/MALARIA_VIVAX_COLOMBIA_2015_202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mycambrian-my.sharepoint.com/personal/a00290412_mycambrian_ca/Documents/Classes/EXL1002_Dashboards%20and%20Data%20Analysis/Group%20Project/Shared_Group_Project/New_Folder/MALARIA_VIVAX_COLOMBIA_2015_202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mycambrian-my.sharepoint.com/personal/a00290412_mycambrian_ca/Documents/Classes/EXL1002_Dashboards%20and%20Data%20Analysis/Group%20Project/Shared_Group_Project/New_Folder/MALARIA_VIVAX_COLOMBIA_2015_202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mycambrian-my.sharepoint.com/personal/a00290412_mycambrian_ca/Documents/Classes/EXL1002_Dashboards%20and%20Data%20Analysis/Group%20Project/Shared_Group_Project/New_Folder/MALARIA_VIVAX_COLOMBIA_2015_202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mycambrian-my.sharepoint.com/personal/a00290412_mycambrian_ca/Documents/Classes/EXL1002_Dashboards%20and%20Data%20Analysis/Group%20Project/Shared_Group_Project/New_Folder/MALARIA_VIVAX_COLOMBIA_2015_2022.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[MALARIA_VIVAX_COLOMBIA_2015_2022.xlsx]data__social_security!data__social_security</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data__social_security!$B$3:$B$4</c:f>
              <c:strCache>
                <c:ptCount val="1"/>
                <c:pt idx="0">
                  <c:v>C</c:v>
                </c:pt>
              </c:strCache>
            </c:strRef>
          </c:tx>
          <c:spPr>
            <a:solidFill>
              <a:schemeClr val="accent1"/>
            </a:solidFill>
            <a:ln>
              <a:noFill/>
            </a:ln>
            <a:effectLst/>
          </c:spPr>
          <c:invertIfNegative val="0"/>
          <c:cat>
            <c:strRef>
              <c:f>data__social_security!$A$5:$A$14</c:f>
              <c:strCache>
                <c:ptCount val="9"/>
                <c:pt idx="0">
                  <c:v>2015</c:v>
                </c:pt>
                <c:pt idx="1">
                  <c:v>2016</c:v>
                </c:pt>
                <c:pt idx="2">
                  <c:v>2017</c:v>
                </c:pt>
                <c:pt idx="3">
                  <c:v>2018</c:v>
                </c:pt>
                <c:pt idx="4">
                  <c:v>2019</c:v>
                </c:pt>
                <c:pt idx="5">
                  <c:v>2020</c:v>
                </c:pt>
                <c:pt idx="6">
                  <c:v>2021</c:v>
                </c:pt>
                <c:pt idx="7">
                  <c:v>2022</c:v>
                </c:pt>
                <c:pt idx="8">
                  <c:v>2023</c:v>
                </c:pt>
              </c:strCache>
            </c:strRef>
          </c:cat>
          <c:val>
            <c:numRef>
              <c:f>data__social_security!$B$5:$B$14</c:f>
              <c:numCache>
                <c:formatCode>General</c:formatCode>
                <c:ptCount val="9"/>
                <c:pt idx="0">
                  <c:v>1396</c:v>
                </c:pt>
                <c:pt idx="1">
                  <c:v>2313</c:v>
                </c:pt>
                <c:pt idx="2">
                  <c:v>2282</c:v>
                </c:pt>
                <c:pt idx="3">
                  <c:v>2179</c:v>
                </c:pt>
                <c:pt idx="4">
                  <c:v>2269</c:v>
                </c:pt>
                <c:pt idx="5">
                  <c:v>2362</c:v>
                </c:pt>
                <c:pt idx="6">
                  <c:v>1645</c:v>
                </c:pt>
                <c:pt idx="7">
                  <c:v>2220</c:v>
                </c:pt>
                <c:pt idx="8">
                  <c:v>27</c:v>
                </c:pt>
              </c:numCache>
            </c:numRef>
          </c:val>
          <c:extLst>
            <c:ext xmlns:c16="http://schemas.microsoft.com/office/drawing/2014/chart" uri="{C3380CC4-5D6E-409C-BE32-E72D297353CC}">
              <c16:uniqueId val="{00000000-0928-5542-AEC7-EAE839D448DE}"/>
            </c:ext>
          </c:extLst>
        </c:ser>
        <c:ser>
          <c:idx val="1"/>
          <c:order val="1"/>
          <c:tx>
            <c:strRef>
              <c:f>data__social_security!$C$3:$C$4</c:f>
              <c:strCache>
                <c:ptCount val="1"/>
                <c:pt idx="0">
                  <c:v>E</c:v>
                </c:pt>
              </c:strCache>
            </c:strRef>
          </c:tx>
          <c:spPr>
            <a:solidFill>
              <a:schemeClr val="accent2"/>
            </a:solidFill>
            <a:ln>
              <a:noFill/>
            </a:ln>
            <a:effectLst/>
          </c:spPr>
          <c:invertIfNegative val="0"/>
          <c:cat>
            <c:strRef>
              <c:f>data__social_security!$A$5:$A$14</c:f>
              <c:strCache>
                <c:ptCount val="9"/>
                <c:pt idx="0">
                  <c:v>2015</c:v>
                </c:pt>
                <c:pt idx="1">
                  <c:v>2016</c:v>
                </c:pt>
                <c:pt idx="2">
                  <c:v>2017</c:v>
                </c:pt>
                <c:pt idx="3">
                  <c:v>2018</c:v>
                </c:pt>
                <c:pt idx="4">
                  <c:v>2019</c:v>
                </c:pt>
                <c:pt idx="5">
                  <c:v>2020</c:v>
                </c:pt>
                <c:pt idx="6">
                  <c:v>2021</c:v>
                </c:pt>
                <c:pt idx="7">
                  <c:v>2022</c:v>
                </c:pt>
                <c:pt idx="8">
                  <c:v>2023</c:v>
                </c:pt>
              </c:strCache>
            </c:strRef>
          </c:cat>
          <c:val>
            <c:numRef>
              <c:f>data__social_security!$C$5:$C$14</c:f>
              <c:numCache>
                <c:formatCode>General</c:formatCode>
                <c:ptCount val="9"/>
                <c:pt idx="0">
                  <c:v>720</c:v>
                </c:pt>
                <c:pt idx="1">
                  <c:v>808</c:v>
                </c:pt>
                <c:pt idx="2">
                  <c:v>253</c:v>
                </c:pt>
                <c:pt idx="3">
                  <c:v>465</c:v>
                </c:pt>
                <c:pt idx="4">
                  <c:v>59</c:v>
                </c:pt>
                <c:pt idx="5">
                  <c:v>8</c:v>
                </c:pt>
              </c:numCache>
            </c:numRef>
          </c:val>
          <c:extLst>
            <c:ext xmlns:c16="http://schemas.microsoft.com/office/drawing/2014/chart" uri="{C3380CC4-5D6E-409C-BE32-E72D297353CC}">
              <c16:uniqueId val="{00000001-0928-5542-AEC7-EAE839D448DE}"/>
            </c:ext>
          </c:extLst>
        </c:ser>
        <c:ser>
          <c:idx val="2"/>
          <c:order val="2"/>
          <c:tx>
            <c:strRef>
              <c:f>data__social_security!$D$3:$D$4</c:f>
              <c:strCache>
                <c:ptCount val="1"/>
                <c:pt idx="0">
                  <c:v>I</c:v>
                </c:pt>
              </c:strCache>
            </c:strRef>
          </c:tx>
          <c:spPr>
            <a:solidFill>
              <a:schemeClr val="accent3"/>
            </a:solidFill>
            <a:ln>
              <a:noFill/>
            </a:ln>
            <a:effectLst/>
          </c:spPr>
          <c:invertIfNegative val="0"/>
          <c:cat>
            <c:strRef>
              <c:f>data__social_security!$A$5:$A$14</c:f>
              <c:strCache>
                <c:ptCount val="9"/>
                <c:pt idx="0">
                  <c:v>2015</c:v>
                </c:pt>
                <c:pt idx="1">
                  <c:v>2016</c:v>
                </c:pt>
                <c:pt idx="2">
                  <c:v>2017</c:v>
                </c:pt>
                <c:pt idx="3">
                  <c:v>2018</c:v>
                </c:pt>
                <c:pt idx="4">
                  <c:v>2019</c:v>
                </c:pt>
                <c:pt idx="5">
                  <c:v>2020</c:v>
                </c:pt>
                <c:pt idx="6">
                  <c:v>2021</c:v>
                </c:pt>
                <c:pt idx="7">
                  <c:v>2022</c:v>
                </c:pt>
                <c:pt idx="8">
                  <c:v>2023</c:v>
                </c:pt>
              </c:strCache>
            </c:strRef>
          </c:cat>
          <c:val>
            <c:numRef>
              <c:f>data__social_security!$D$5:$D$14</c:f>
              <c:numCache>
                <c:formatCode>General</c:formatCode>
                <c:ptCount val="9"/>
                <c:pt idx="0">
                  <c:v>15</c:v>
                </c:pt>
                <c:pt idx="1">
                  <c:v>297</c:v>
                </c:pt>
                <c:pt idx="2">
                  <c:v>324</c:v>
                </c:pt>
                <c:pt idx="3">
                  <c:v>599</c:v>
                </c:pt>
                <c:pt idx="4">
                  <c:v>525</c:v>
                </c:pt>
                <c:pt idx="5">
                  <c:v>725</c:v>
                </c:pt>
                <c:pt idx="6">
                  <c:v>539</c:v>
                </c:pt>
                <c:pt idx="7">
                  <c:v>646</c:v>
                </c:pt>
                <c:pt idx="8">
                  <c:v>5</c:v>
                </c:pt>
              </c:numCache>
            </c:numRef>
          </c:val>
          <c:extLst>
            <c:ext xmlns:c16="http://schemas.microsoft.com/office/drawing/2014/chart" uri="{C3380CC4-5D6E-409C-BE32-E72D297353CC}">
              <c16:uniqueId val="{00000002-0928-5542-AEC7-EAE839D448DE}"/>
            </c:ext>
          </c:extLst>
        </c:ser>
        <c:ser>
          <c:idx val="3"/>
          <c:order val="3"/>
          <c:tx>
            <c:strRef>
              <c:f>data__social_security!$E$3:$E$4</c:f>
              <c:strCache>
                <c:ptCount val="1"/>
                <c:pt idx="0">
                  <c:v>N</c:v>
                </c:pt>
              </c:strCache>
            </c:strRef>
          </c:tx>
          <c:spPr>
            <a:solidFill>
              <a:schemeClr val="accent4"/>
            </a:solidFill>
            <a:ln>
              <a:noFill/>
            </a:ln>
            <a:effectLst/>
          </c:spPr>
          <c:invertIfNegative val="0"/>
          <c:cat>
            <c:strRef>
              <c:f>data__social_security!$A$5:$A$14</c:f>
              <c:strCache>
                <c:ptCount val="9"/>
                <c:pt idx="0">
                  <c:v>2015</c:v>
                </c:pt>
                <c:pt idx="1">
                  <c:v>2016</c:v>
                </c:pt>
                <c:pt idx="2">
                  <c:v>2017</c:v>
                </c:pt>
                <c:pt idx="3">
                  <c:v>2018</c:v>
                </c:pt>
                <c:pt idx="4">
                  <c:v>2019</c:v>
                </c:pt>
                <c:pt idx="5">
                  <c:v>2020</c:v>
                </c:pt>
                <c:pt idx="6">
                  <c:v>2021</c:v>
                </c:pt>
                <c:pt idx="7">
                  <c:v>2022</c:v>
                </c:pt>
                <c:pt idx="8">
                  <c:v>2023</c:v>
                </c:pt>
              </c:strCache>
            </c:strRef>
          </c:cat>
          <c:val>
            <c:numRef>
              <c:f>data__social_security!$E$5:$E$14</c:f>
              <c:numCache>
                <c:formatCode>General</c:formatCode>
                <c:ptCount val="9"/>
                <c:pt idx="0">
                  <c:v>4545</c:v>
                </c:pt>
                <c:pt idx="1">
                  <c:v>5755</c:v>
                </c:pt>
                <c:pt idx="2">
                  <c:v>1749</c:v>
                </c:pt>
                <c:pt idx="3">
                  <c:v>3403</c:v>
                </c:pt>
                <c:pt idx="4">
                  <c:v>6167</c:v>
                </c:pt>
                <c:pt idx="5">
                  <c:v>9731</c:v>
                </c:pt>
                <c:pt idx="6">
                  <c:v>4692</c:v>
                </c:pt>
                <c:pt idx="7">
                  <c:v>4818</c:v>
                </c:pt>
                <c:pt idx="8">
                  <c:v>73</c:v>
                </c:pt>
              </c:numCache>
            </c:numRef>
          </c:val>
          <c:extLst>
            <c:ext xmlns:c16="http://schemas.microsoft.com/office/drawing/2014/chart" uri="{C3380CC4-5D6E-409C-BE32-E72D297353CC}">
              <c16:uniqueId val="{00000003-0928-5542-AEC7-EAE839D448DE}"/>
            </c:ext>
          </c:extLst>
        </c:ser>
        <c:ser>
          <c:idx val="4"/>
          <c:order val="4"/>
          <c:tx>
            <c:strRef>
              <c:f>data__social_security!$F$3:$F$4</c:f>
              <c:strCache>
                <c:ptCount val="1"/>
                <c:pt idx="0">
                  <c:v>P</c:v>
                </c:pt>
              </c:strCache>
            </c:strRef>
          </c:tx>
          <c:spPr>
            <a:solidFill>
              <a:schemeClr val="accent5"/>
            </a:solidFill>
            <a:ln>
              <a:noFill/>
            </a:ln>
            <a:effectLst/>
          </c:spPr>
          <c:invertIfNegative val="0"/>
          <c:cat>
            <c:strRef>
              <c:f>data__social_security!$A$5:$A$14</c:f>
              <c:strCache>
                <c:ptCount val="9"/>
                <c:pt idx="0">
                  <c:v>2015</c:v>
                </c:pt>
                <c:pt idx="1">
                  <c:v>2016</c:v>
                </c:pt>
                <c:pt idx="2">
                  <c:v>2017</c:v>
                </c:pt>
                <c:pt idx="3">
                  <c:v>2018</c:v>
                </c:pt>
                <c:pt idx="4">
                  <c:v>2019</c:v>
                </c:pt>
                <c:pt idx="5">
                  <c:v>2020</c:v>
                </c:pt>
                <c:pt idx="6">
                  <c:v>2021</c:v>
                </c:pt>
                <c:pt idx="7">
                  <c:v>2022</c:v>
                </c:pt>
                <c:pt idx="8">
                  <c:v>2023</c:v>
                </c:pt>
              </c:strCache>
            </c:strRef>
          </c:cat>
          <c:val>
            <c:numRef>
              <c:f>data__social_security!$F$5:$F$14</c:f>
              <c:numCache>
                <c:formatCode>General</c:formatCode>
                <c:ptCount val="9"/>
                <c:pt idx="0">
                  <c:v>293</c:v>
                </c:pt>
                <c:pt idx="1">
                  <c:v>382</c:v>
                </c:pt>
                <c:pt idx="2">
                  <c:v>121</c:v>
                </c:pt>
                <c:pt idx="3">
                  <c:v>234</c:v>
                </c:pt>
                <c:pt idx="4">
                  <c:v>941</c:v>
                </c:pt>
                <c:pt idx="5">
                  <c:v>1337</c:v>
                </c:pt>
                <c:pt idx="6">
                  <c:v>1423</c:v>
                </c:pt>
                <c:pt idx="7">
                  <c:v>1851</c:v>
                </c:pt>
                <c:pt idx="8">
                  <c:v>21</c:v>
                </c:pt>
              </c:numCache>
            </c:numRef>
          </c:val>
          <c:extLst>
            <c:ext xmlns:c16="http://schemas.microsoft.com/office/drawing/2014/chart" uri="{C3380CC4-5D6E-409C-BE32-E72D297353CC}">
              <c16:uniqueId val="{00000004-0928-5542-AEC7-EAE839D448DE}"/>
            </c:ext>
          </c:extLst>
        </c:ser>
        <c:ser>
          <c:idx val="5"/>
          <c:order val="5"/>
          <c:tx>
            <c:strRef>
              <c:f>data__social_security!$G$3:$G$4</c:f>
              <c:strCache>
                <c:ptCount val="1"/>
                <c:pt idx="0">
                  <c:v>S</c:v>
                </c:pt>
              </c:strCache>
            </c:strRef>
          </c:tx>
          <c:spPr>
            <a:solidFill>
              <a:schemeClr val="accent6"/>
            </a:solidFill>
            <a:ln>
              <a:noFill/>
            </a:ln>
            <a:effectLst/>
          </c:spPr>
          <c:invertIfNegative val="0"/>
          <c:cat>
            <c:strRef>
              <c:f>data__social_security!$A$5:$A$14</c:f>
              <c:strCache>
                <c:ptCount val="9"/>
                <c:pt idx="0">
                  <c:v>2015</c:v>
                </c:pt>
                <c:pt idx="1">
                  <c:v>2016</c:v>
                </c:pt>
                <c:pt idx="2">
                  <c:v>2017</c:v>
                </c:pt>
                <c:pt idx="3">
                  <c:v>2018</c:v>
                </c:pt>
                <c:pt idx="4">
                  <c:v>2019</c:v>
                </c:pt>
                <c:pt idx="5">
                  <c:v>2020</c:v>
                </c:pt>
                <c:pt idx="6">
                  <c:v>2021</c:v>
                </c:pt>
                <c:pt idx="7">
                  <c:v>2022</c:v>
                </c:pt>
                <c:pt idx="8">
                  <c:v>2023</c:v>
                </c:pt>
              </c:strCache>
            </c:strRef>
          </c:cat>
          <c:val>
            <c:numRef>
              <c:f>data__social_security!$G$5:$G$14</c:f>
              <c:numCache>
                <c:formatCode>General</c:formatCode>
                <c:ptCount val="9"/>
                <c:pt idx="0">
                  <c:v>17186</c:v>
                </c:pt>
                <c:pt idx="1">
                  <c:v>24161</c:v>
                </c:pt>
                <c:pt idx="2">
                  <c:v>17170</c:v>
                </c:pt>
                <c:pt idx="3">
                  <c:v>22823</c:v>
                </c:pt>
                <c:pt idx="4">
                  <c:v>26479</c:v>
                </c:pt>
                <c:pt idx="5">
                  <c:v>24892</c:v>
                </c:pt>
                <c:pt idx="6">
                  <c:v>27185</c:v>
                </c:pt>
                <c:pt idx="7">
                  <c:v>33908</c:v>
                </c:pt>
                <c:pt idx="8">
                  <c:v>562</c:v>
                </c:pt>
              </c:numCache>
            </c:numRef>
          </c:val>
          <c:extLst>
            <c:ext xmlns:c16="http://schemas.microsoft.com/office/drawing/2014/chart" uri="{C3380CC4-5D6E-409C-BE32-E72D297353CC}">
              <c16:uniqueId val="{00000005-0928-5542-AEC7-EAE839D448DE}"/>
            </c:ext>
          </c:extLst>
        </c:ser>
        <c:dLbls>
          <c:showLegendKey val="0"/>
          <c:showVal val="0"/>
          <c:showCatName val="0"/>
          <c:showSerName val="0"/>
          <c:showPercent val="0"/>
          <c:showBubbleSize val="0"/>
        </c:dLbls>
        <c:gapWidth val="150"/>
        <c:overlap val="100"/>
        <c:axId val="1058904992"/>
        <c:axId val="874623328"/>
      </c:barChart>
      <c:catAx>
        <c:axId val="1058904992"/>
        <c:scaling>
          <c:orientation val="minMax"/>
        </c:scaling>
        <c:delete val="0"/>
        <c:axPos val="b"/>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4623328"/>
        <c:crosses val="autoZero"/>
        <c:auto val="1"/>
        <c:lblAlgn val="ctr"/>
        <c:lblOffset val="100"/>
        <c:noMultiLvlLbl val="0"/>
      </c:catAx>
      <c:valAx>
        <c:axId val="87462332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89049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[MALARIA_VIVAX_COLOMBIA_2015_2022.xlsx]data__ethinicity!data__ethinicity</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data__ethinicity!$B$3:$B$4</c:f>
              <c:strCache>
                <c:ptCount val="1"/>
                <c:pt idx="0">
                  <c:v>1</c:v>
                </c:pt>
              </c:strCache>
            </c:strRef>
          </c:tx>
          <c:spPr>
            <a:solidFill>
              <a:schemeClr val="accent1"/>
            </a:solidFill>
            <a:ln>
              <a:noFill/>
            </a:ln>
            <a:effectLst/>
          </c:spPr>
          <c:invertIfNegative val="0"/>
          <c:cat>
            <c:strRef>
              <c:f>data__ethinicity!$A$5:$A$14</c:f>
              <c:strCache>
                <c:ptCount val="9"/>
                <c:pt idx="0">
                  <c:v>2015</c:v>
                </c:pt>
                <c:pt idx="1">
                  <c:v>2016</c:v>
                </c:pt>
                <c:pt idx="2">
                  <c:v>2017</c:v>
                </c:pt>
                <c:pt idx="3">
                  <c:v>2018</c:v>
                </c:pt>
                <c:pt idx="4">
                  <c:v>2019</c:v>
                </c:pt>
                <c:pt idx="5">
                  <c:v>2020</c:v>
                </c:pt>
                <c:pt idx="6">
                  <c:v>2021</c:v>
                </c:pt>
                <c:pt idx="7">
                  <c:v>2022</c:v>
                </c:pt>
                <c:pt idx="8">
                  <c:v>2023</c:v>
                </c:pt>
              </c:strCache>
            </c:strRef>
          </c:cat>
          <c:val>
            <c:numRef>
              <c:f>data__ethinicity!$B$5:$B$14</c:f>
              <c:numCache>
                <c:formatCode>General</c:formatCode>
                <c:ptCount val="9"/>
                <c:pt idx="0">
                  <c:v>9361</c:v>
                </c:pt>
                <c:pt idx="1">
                  <c:v>14787</c:v>
                </c:pt>
                <c:pt idx="2">
                  <c:v>8756</c:v>
                </c:pt>
                <c:pt idx="3">
                  <c:v>9472</c:v>
                </c:pt>
                <c:pt idx="4">
                  <c:v>11400</c:v>
                </c:pt>
                <c:pt idx="5">
                  <c:v>13080</c:v>
                </c:pt>
                <c:pt idx="6">
                  <c:v>11519</c:v>
                </c:pt>
                <c:pt idx="7">
                  <c:v>15372</c:v>
                </c:pt>
                <c:pt idx="8">
                  <c:v>229</c:v>
                </c:pt>
              </c:numCache>
            </c:numRef>
          </c:val>
          <c:extLst>
            <c:ext xmlns:c16="http://schemas.microsoft.com/office/drawing/2014/chart" uri="{C3380CC4-5D6E-409C-BE32-E72D297353CC}">
              <c16:uniqueId val="{00000000-094D-EE45-9107-03C09FBD1348}"/>
            </c:ext>
          </c:extLst>
        </c:ser>
        <c:ser>
          <c:idx val="1"/>
          <c:order val="1"/>
          <c:tx>
            <c:strRef>
              <c:f>data__ethinicity!$C$3:$C$4</c:f>
              <c:strCache>
                <c:ptCount val="1"/>
                <c:pt idx="0">
                  <c:v>2</c:v>
                </c:pt>
              </c:strCache>
            </c:strRef>
          </c:tx>
          <c:spPr>
            <a:solidFill>
              <a:schemeClr val="accent2"/>
            </a:solidFill>
            <a:ln>
              <a:noFill/>
            </a:ln>
            <a:effectLst/>
          </c:spPr>
          <c:invertIfNegative val="0"/>
          <c:cat>
            <c:strRef>
              <c:f>data__ethinicity!$A$5:$A$14</c:f>
              <c:strCache>
                <c:ptCount val="9"/>
                <c:pt idx="0">
                  <c:v>2015</c:v>
                </c:pt>
                <c:pt idx="1">
                  <c:v>2016</c:v>
                </c:pt>
                <c:pt idx="2">
                  <c:v>2017</c:v>
                </c:pt>
                <c:pt idx="3">
                  <c:v>2018</c:v>
                </c:pt>
                <c:pt idx="4">
                  <c:v>2019</c:v>
                </c:pt>
                <c:pt idx="5">
                  <c:v>2020</c:v>
                </c:pt>
                <c:pt idx="6">
                  <c:v>2021</c:v>
                </c:pt>
                <c:pt idx="7">
                  <c:v>2022</c:v>
                </c:pt>
                <c:pt idx="8">
                  <c:v>2023</c:v>
                </c:pt>
              </c:strCache>
            </c:strRef>
          </c:cat>
          <c:val>
            <c:numRef>
              <c:f>data__ethinicity!$C$5:$C$14</c:f>
              <c:numCache>
                <c:formatCode>General</c:formatCode>
                <c:ptCount val="9"/>
                <c:pt idx="0">
                  <c:v>47</c:v>
                </c:pt>
                <c:pt idx="1">
                  <c:v>90</c:v>
                </c:pt>
                <c:pt idx="2">
                  <c:v>48</c:v>
                </c:pt>
                <c:pt idx="3">
                  <c:v>40</c:v>
                </c:pt>
                <c:pt idx="4">
                  <c:v>76</c:v>
                </c:pt>
                <c:pt idx="5">
                  <c:v>47</c:v>
                </c:pt>
                <c:pt idx="6">
                  <c:v>34</c:v>
                </c:pt>
                <c:pt idx="7">
                  <c:v>66</c:v>
                </c:pt>
                <c:pt idx="8">
                  <c:v>2</c:v>
                </c:pt>
              </c:numCache>
            </c:numRef>
          </c:val>
          <c:extLst>
            <c:ext xmlns:c16="http://schemas.microsoft.com/office/drawing/2014/chart" uri="{C3380CC4-5D6E-409C-BE32-E72D297353CC}">
              <c16:uniqueId val="{00000001-094D-EE45-9107-03C09FBD1348}"/>
            </c:ext>
          </c:extLst>
        </c:ser>
        <c:ser>
          <c:idx val="2"/>
          <c:order val="2"/>
          <c:tx>
            <c:strRef>
              <c:f>data__ethinicity!$D$3:$D$4</c:f>
              <c:strCache>
                <c:ptCount val="1"/>
                <c:pt idx="0">
                  <c:v>3</c:v>
                </c:pt>
              </c:strCache>
            </c:strRef>
          </c:tx>
          <c:spPr>
            <a:solidFill>
              <a:schemeClr val="accent3"/>
            </a:solidFill>
            <a:ln>
              <a:noFill/>
            </a:ln>
            <a:effectLst/>
          </c:spPr>
          <c:invertIfNegative val="0"/>
          <c:cat>
            <c:strRef>
              <c:f>data__ethinicity!$A$5:$A$14</c:f>
              <c:strCache>
                <c:ptCount val="9"/>
                <c:pt idx="0">
                  <c:v>2015</c:v>
                </c:pt>
                <c:pt idx="1">
                  <c:v>2016</c:v>
                </c:pt>
                <c:pt idx="2">
                  <c:v>2017</c:v>
                </c:pt>
                <c:pt idx="3">
                  <c:v>2018</c:v>
                </c:pt>
                <c:pt idx="4">
                  <c:v>2019</c:v>
                </c:pt>
                <c:pt idx="5">
                  <c:v>2020</c:v>
                </c:pt>
                <c:pt idx="6">
                  <c:v>2021</c:v>
                </c:pt>
                <c:pt idx="7">
                  <c:v>2022</c:v>
                </c:pt>
                <c:pt idx="8">
                  <c:v>2023</c:v>
                </c:pt>
              </c:strCache>
            </c:strRef>
          </c:cat>
          <c:val>
            <c:numRef>
              <c:f>data__ethinicity!$D$5:$D$14</c:f>
              <c:numCache>
                <c:formatCode>General</c:formatCode>
                <c:ptCount val="9"/>
                <c:pt idx="0">
                  <c:v>36</c:v>
                </c:pt>
                <c:pt idx="1">
                  <c:v>56</c:v>
                </c:pt>
                <c:pt idx="2">
                  <c:v>46</c:v>
                </c:pt>
                <c:pt idx="3">
                  <c:v>34</c:v>
                </c:pt>
                <c:pt idx="4">
                  <c:v>34</c:v>
                </c:pt>
                <c:pt idx="5">
                  <c:v>33</c:v>
                </c:pt>
                <c:pt idx="6">
                  <c:v>24</c:v>
                </c:pt>
                <c:pt idx="7">
                  <c:v>39</c:v>
                </c:pt>
                <c:pt idx="8">
                  <c:v>1</c:v>
                </c:pt>
              </c:numCache>
            </c:numRef>
          </c:val>
          <c:extLst>
            <c:ext xmlns:c16="http://schemas.microsoft.com/office/drawing/2014/chart" uri="{C3380CC4-5D6E-409C-BE32-E72D297353CC}">
              <c16:uniqueId val="{00000002-094D-EE45-9107-03C09FBD1348}"/>
            </c:ext>
          </c:extLst>
        </c:ser>
        <c:ser>
          <c:idx val="3"/>
          <c:order val="3"/>
          <c:tx>
            <c:strRef>
              <c:f>data__ethinicity!$E$3:$E$4</c:f>
              <c:strCache>
                <c:ptCount val="1"/>
                <c:pt idx="0">
                  <c:v>4</c:v>
                </c:pt>
              </c:strCache>
            </c:strRef>
          </c:tx>
          <c:spPr>
            <a:solidFill>
              <a:schemeClr val="accent4"/>
            </a:solidFill>
            <a:ln>
              <a:noFill/>
            </a:ln>
            <a:effectLst/>
          </c:spPr>
          <c:invertIfNegative val="0"/>
          <c:cat>
            <c:strRef>
              <c:f>data__ethinicity!$A$5:$A$14</c:f>
              <c:strCache>
                <c:ptCount val="9"/>
                <c:pt idx="0">
                  <c:v>2015</c:v>
                </c:pt>
                <c:pt idx="1">
                  <c:v>2016</c:v>
                </c:pt>
                <c:pt idx="2">
                  <c:v>2017</c:v>
                </c:pt>
                <c:pt idx="3">
                  <c:v>2018</c:v>
                </c:pt>
                <c:pt idx="4">
                  <c:v>2019</c:v>
                </c:pt>
                <c:pt idx="5">
                  <c:v>2020</c:v>
                </c:pt>
                <c:pt idx="6">
                  <c:v>2021</c:v>
                </c:pt>
                <c:pt idx="7">
                  <c:v>2022</c:v>
                </c:pt>
                <c:pt idx="8">
                  <c:v>2023</c:v>
                </c:pt>
              </c:strCache>
            </c:strRef>
          </c:cat>
          <c:val>
            <c:numRef>
              <c:f>data__ethinicity!$E$5:$E$14</c:f>
              <c:numCache>
                <c:formatCode>General</c:formatCode>
                <c:ptCount val="9"/>
                <c:pt idx="0">
                  <c:v>10</c:v>
                </c:pt>
                <c:pt idx="1">
                  <c:v>13</c:v>
                </c:pt>
                <c:pt idx="2">
                  <c:v>11</c:v>
                </c:pt>
                <c:pt idx="3">
                  <c:v>13</c:v>
                </c:pt>
                <c:pt idx="4">
                  <c:v>18</c:v>
                </c:pt>
                <c:pt idx="5">
                  <c:v>13</c:v>
                </c:pt>
                <c:pt idx="6">
                  <c:v>6</c:v>
                </c:pt>
                <c:pt idx="7">
                  <c:v>6</c:v>
                </c:pt>
              </c:numCache>
            </c:numRef>
          </c:val>
          <c:extLst>
            <c:ext xmlns:c16="http://schemas.microsoft.com/office/drawing/2014/chart" uri="{C3380CC4-5D6E-409C-BE32-E72D297353CC}">
              <c16:uniqueId val="{00000003-094D-EE45-9107-03C09FBD1348}"/>
            </c:ext>
          </c:extLst>
        </c:ser>
        <c:ser>
          <c:idx val="4"/>
          <c:order val="4"/>
          <c:tx>
            <c:strRef>
              <c:f>data__ethinicity!$F$3:$F$4</c:f>
              <c:strCache>
                <c:ptCount val="1"/>
                <c:pt idx="0">
                  <c:v>5</c:v>
                </c:pt>
              </c:strCache>
            </c:strRef>
          </c:tx>
          <c:spPr>
            <a:solidFill>
              <a:schemeClr val="accent5"/>
            </a:solidFill>
            <a:ln>
              <a:noFill/>
            </a:ln>
            <a:effectLst/>
          </c:spPr>
          <c:invertIfNegative val="0"/>
          <c:cat>
            <c:strRef>
              <c:f>data__ethinicity!$A$5:$A$14</c:f>
              <c:strCache>
                <c:ptCount val="9"/>
                <c:pt idx="0">
                  <c:v>2015</c:v>
                </c:pt>
                <c:pt idx="1">
                  <c:v>2016</c:v>
                </c:pt>
                <c:pt idx="2">
                  <c:v>2017</c:v>
                </c:pt>
                <c:pt idx="3">
                  <c:v>2018</c:v>
                </c:pt>
                <c:pt idx="4">
                  <c:v>2019</c:v>
                </c:pt>
                <c:pt idx="5">
                  <c:v>2020</c:v>
                </c:pt>
                <c:pt idx="6">
                  <c:v>2021</c:v>
                </c:pt>
                <c:pt idx="7">
                  <c:v>2022</c:v>
                </c:pt>
                <c:pt idx="8">
                  <c:v>2023</c:v>
                </c:pt>
              </c:strCache>
            </c:strRef>
          </c:cat>
          <c:val>
            <c:numRef>
              <c:f>data__ethinicity!$F$5:$F$14</c:f>
              <c:numCache>
                <c:formatCode>General</c:formatCode>
                <c:ptCount val="9"/>
                <c:pt idx="0">
                  <c:v>6601</c:v>
                </c:pt>
                <c:pt idx="1">
                  <c:v>9137</c:v>
                </c:pt>
                <c:pt idx="2">
                  <c:v>4273</c:v>
                </c:pt>
                <c:pt idx="3">
                  <c:v>4287</c:v>
                </c:pt>
                <c:pt idx="4">
                  <c:v>5191</c:v>
                </c:pt>
                <c:pt idx="5">
                  <c:v>6097</c:v>
                </c:pt>
                <c:pt idx="6">
                  <c:v>7289</c:v>
                </c:pt>
                <c:pt idx="7">
                  <c:v>6883</c:v>
                </c:pt>
                <c:pt idx="8">
                  <c:v>94</c:v>
                </c:pt>
              </c:numCache>
            </c:numRef>
          </c:val>
          <c:extLst>
            <c:ext xmlns:c16="http://schemas.microsoft.com/office/drawing/2014/chart" uri="{C3380CC4-5D6E-409C-BE32-E72D297353CC}">
              <c16:uniqueId val="{00000004-094D-EE45-9107-03C09FBD1348}"/>
            </c:ext>
          </c:extLst>
        </c:ser>
        <c:ser>
          <c:idx val="5"/>
          <c:order val="5"/>
          <c:tx>
            <c:strRef>
              <c:f>data__ethinicity!$G$3:$G$4</c:f>
              <c:strCache>
                <c:ptCount val="1"/>
                <c:pt idx="0">
                  <c:v>6</c:v>
                </c:pt>
              </c:strCache>
            </c:strRef>
          </c:tx>
          <c:spPr>
            <a:solidFill>
              <a:schemeClr val="accent6"/>
            </a:solidFill>
            <a:ln>
              <a:noFill/>
            </a:ln>
            <a:effectLst/>
          </c:spPr>
          <c:invertIfNegative val="0"/>
          <c:cat>
            <c:strRef>
              <c:f>data__ethinicity!$A$5:$A$14</c:f>
              <c:strCache>
                <c:ptCount val="9"/>
                <c:pt idx="0">
                  <c:v>2015</c:v>
                </c:pt>
                <c:pt idx="1">
                  <c:v>2016</c:v>
                </c:pt>
                <c:pt idx="2">
                  <c:v>2017</c:v>
                </c:pt>
                <c:pt idx="3">
                  <c:v>2018</c:v>
                </c:pt>
                <c:pt idx="4">
                  <c:v>2019</c:v>
                </c:pt>
                <c:pt idx="5">
                  <c:v>2020</c:v>
                </c:pt>
                <c:pt idx="6">
                  <c:v>2021</c:v>
                </c:pt>
                <c:pt idx="7">
                  <c:v>2022</c:v>
                </c:pt>
                <c:pt idx="8">
                  <c:v>2023</c:v>
                </c:pt>
              </c:strCache>
            </c:strRef>
          </c:cat>
          <c:val>
            <c:numRef>
              <c:f>data__ethinicity!$G$5:$G$14</c:f>
              <c:numCache>
                <c:formatCode>General</c:formatCode>
                <c:ptCount val="9"/>
                <c:pt idx="0">
                  <c:v>8100</c:v>
                </c:pt>
                <c:pt idx="1">
                  <c:v>9633</c:v>
                </c:pt>
                <c:pt idx="2">
                  <c:v>8765</c:v>
                </c:pt>
                <c:pt idx="3">
                  <c:v>15857</c:v>
                </c:pt>
                <c:pt idx="4">
                  <c:v>19721</c:v>
                </c:pt>
                <c:pt idx="5">
                  <c:v>19785</c:v>
                </c:pt>
                <c:pt idx="6">
                  <c:v>16612</c:v>
                </c:pt>
                <c:pt idx="7">
                  <c:v>21077</c:v>
                </c:pt>
                <c:pt idx="8">
                  <c:v>362</c:v>
                </c:pt>
              </c:numCache>
            </c:numRef>
          </c:val>
          <c:extLst>
            <c:ext xmlns:c16="http://schemas.microsoft.com/office/drawing/2014/chart" uri="{C3380CC4-5D6E-409C-BE32-E72D297353CC}">
              <c16:uniqueId val="{00000005-094D-EE45-9107-03C09FBD1348}"/>
            </c:ext>
          </c:extLst>
        </c:ser>
        <c:dLbls>
          <c:showLegendKey val="0"/>
          <c:showVal val="0"/>
          <c:showCatName val="0"/>
          <c:showSerName val="0"/>
          <c:showPercent val="0"/>
          <c:showBubbleSize val="0"/>
        </c:dLbls>
        <c:gapWidth val="150"/>
        <c:overlap val="100"/>
        <c:axId val="1058904992"/>
        <c:axId val="874623328"/>
      </c:barChart>
      <c:catAx>
        <c:axId val="1058904992"/>
        <c:scaling>
          <c:orientation val="minMax"/>
        </c:scaling>
        <c:delete val="0"/>
        <c:axPos val="b"/>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4623328"/>
        <c:crosses val="autoZero"/>
        <c:auto val="1"/>
        <c:lblAlgn val="ctr"/>
        <c:lblOffset val="100"/>
        <c:noMultiLvlLbl val="0"/>
      </c:catAx>
      <c:valAx>
        <c:axId val="87462332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89049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[MALARIA_VIVAX_COLOMBIA_2015_2022.xlsx]data__migrant!data__migrant</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data__migrant!$B$3:$B$4</c:f>
              <c:strCache>
                <c:ptCount val="1"/>
                <c:pt idx="0">
                  <c:v>1</c:v>
                </c:pt>
              </c:strCache>
            </c:strRef>
          </c:tx>
          <c:spPr>
            <a:solidFill>
              <a:schemeClr val="accent1"/>
            </a:solidFill>
            <a:ln>
              <a:noFill/>
            </a:ln>
            <a:effectLst/>
          </c:spPr>
          <c:invertIfNegative val="0"/>
          <c:cat>
            <c:strRef>
              <c:f>data__migrant!$A$5:$A$14</c:f>
              <c:strCache>
                <c:ptCount val="9"/>
                <c:pt idx="0">
                  <c:v>2015</c:v>
                </c:pt>
                <c:pt idx="1">
                  <c:v>2016</c:v>
                </c:pt>
                <c:pt idx="2">
                  <c:v>2017</c:v>
                </c:pt>
                <c:pt idx="3">
                  <c:v>2018</c:v>
                </c:pt>
                <c:pt idx="4">
                  <c:v>2019</c:v>
                </c:pt>
                <c:pt idx="5">
                  <c:v>2020</c:v>
                </c:pt>
                <c:pt idx="6">
                  <c:v>2021</c:v>
                </c:pt>
                <c:pt idx="7">
                  <c:v>2022</c:v>
                </c:pt>
                <c:pt idx="8">
                  <c:v>2023</c:v>
                </c:pt>
              </c:strCache>
            </c:strRef>
          </c:cat>
          <c:val>
            <c:numRef>
              <c:f>data__migrant!$B$5:$B$14</c:f>
              <c:numCache>
                <c:formatCode>General</c:formatCode>
                <c:ptCount val="9"/>
                <c:pt idx="0">
                  <c:v>146</c:v>
                </c:pt>
                <c:pt idx="1">
                  <c:v>263</c:v>
                </c:pt>
                <c:pt idx="2">
                  <c:v>162</c:v>
                </c:pt>
                <c:pt idx="3">
                  <c:v>285</c:v>
                </c:pt>
                <c:pt idx="4">
                  <c:v>1426</c:v>
                </c:pt>
                <c:pt idx="5">
                  <c:v>2482</c:v>
                </c:pt>
                <c:pt idx="6">
                  <c:v>1523</c:v>
                </c:pt>
                <c:pt idx="7">
                  <c:v>1938</c:v>
                </c:pt>
                <c:pt idx="8">
                  <c:v>12</c:v>
                </c:pt>
              </c:numCache>
            </c:numRef>
          </c:val>
          <c:extLst>
            <c:ext xmlns:c16="http://schemas.microsoft.com/office/drawing/2014/chart" uri="{C3380CC4-5D6E-409C-BE32-E72D297353CC}">
              <c16:uniqueId val="{00000000-53CB-2F4E-B695-30B90215E9F3}"/>
            </c:ext>
          </c:extLst>
        </c:ser>
        <c:ser>
          <c:idx val="1"/>
          <c:order val="1"/>
          <c:tx>
            <c:strRef>
              <c:f>data__migrant!$C$3:$C$4</c:f>
              <c:strCache>
                <c:ptCount val="1"/>
                <c:pt idx="0">
                  <c:v>2</c:v>
                </c:pt>
              </c:strCache>
            </c:strRef>
          </c:tx>
          <c:spPr>
            <a:solidFill>
              <a:schemeClr val="accent2"/>
            </a:solidFill>
            <a:ln>
              <a:noFill/>
            </a:ln>
            <a:effectLst/>
          </c:spPr>
          <c:invertIfNegative val="0"/>
          <c:cat>
            <c:strRef>
              <c:f>data__migrant!$A$5:$A$14</c:f>
              <c:strCache>
                <c:ptCount val="9"/>
                <c:pt idx="0">
                  <c:v>2015</c:v>
                </c:pt>
                <c:pt idx="1">
                  <c:v>2016</c:v>
                </c:pt>
                <c:pt idx="2">
                  <c:v>2017</c:v>
                </c:pt>
                <c:pt idx="3">
                  <c:v>2018</c:v>
                </c:pt>
                <c:pt idx="4">
                  <c:v>2019</c:v>
                </c:pt>
                <c:pt idx="5">
                  <c:v>2020</c:v>
                </c:pt>
                <c:pt idx="6">
                  <c:v>2021</c:v>
                </c:pt>
                <c:pt idx="7">
                  <c:v>2022</c:v>
                </c:pt>
                <c:pt idx="8">
                  <c:v>2023</c:v>
                </c:pt>
              </c:strCache>
            </c:strRef>
          </c:cat>
          <c:val>
            <c:numRef>
              <c:f>data__migrant!$C$5:$C$14</c:f>
              <c:numCache>
                <c:formatCode>General</c:formatCode>
                <c:ptCount val="9"/>
                <c:pt idx="0">
                  <c:v>24009</c:v>
                </c:pt>
                <c:pt idx="1">
                  <c:v>33453</c:v>
                </c:pt>
                <c:pt idx="2">
                  <c:v>21737</c:v>
                </c:pt>
                <c:pt idx="3">
                  <c:v>29418</c:v>
                </c:pt>
                <c:pt idx="4">
                  <c:v>35014</c:v>
                </c:pt>
                <c:pt idx="5">
                  <c:v>36573</c:v>
                </c:pt>
                <c:pt idx="6">
                  <c:v>33961</c:v>
                </c:pt>
                <c:pt idx="7">
                  <c:v>41505</c:v>
                </c:pt>
                <c:pt idx="8">
                  <c:v>676</c:v>
                </c:pt>
              </c:numCache>
            </c:numRef>
          </c:val>
          <c:extLst>
            <c:ext xmlns:c16="http://schemas.microsoft.com/office/drawing/2014/chart" uri="{C3380CC4-5D6E-409C-BE32-E72D297353CC}">
              <c16:uniqueId val="{00000001-53CB-2F4E-B695-30B90215E9F3}"/>
            </c:ext>
          </c:extLst>
        </c:ser>
        <c:dLbls>
          <c:showLegendKey val="0"/>
          <c:showVal val="0"/>
          <c:showCatName val="0"/>
          <c:showSerName val="0"/>
          <c:showPercent val="0"/>
          <c:showBubbleSize val="0"/>
        </c:dLbls>
        <c:gapWidth val="150"/>
        <c:axId val="1058904992"/>
        <c:axId val="874623328"/>
      </c:barChart>
      <c:catAx>
        <c:axId val="1058904992"/>
        <c:scaling>
          <c:orientation val="minMax"/>
        </c:scaling>
        <c:delete val="0"/>
        <c:axPos val="l"/>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4623328"/>
        <c:crosses val="autoZero"/>
        <c:auto val="1"/>
        <c:lblAlgn val="ctr"/>
        <c:lblOffset val="100"/>
        <c:noMultiLvlLbl val="0"/>
      </c:catAx>
      <c:valAx>
        <c:axId val="87462332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89049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sVisible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[MALARIA_VIVAX_COLOMBIA_2015_2022.xlsx]data__pregnancy!data__pregnancy</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data__pregnancy!$B$3:$B$4</c:f>
              <c:strCache>
                <c:ptCount val="1"/>
                <c:pt idx="0">
                  <c:v>1</c:v>
                </c:pt>
              </c:strCache>
            </c:strRef>
          </c:tx>
          <c:spPr>
            <a:solidFill>
              <a:schemeClr val="accent1"/>
            </a:solidFill>
            <a:ln>
              <a:noFill/>
            </a:ln>
            <a:effectLst/>
          </c:spPr>
          <c:invertIfNegative val="0"/>
          <c:cat>
            <c:strRef>
              <c:f>data__pregnancy!$A$5:$A$14</c:f>
              <c:strCache>
                <c:ptCount val="9"/>
                <c:pt idx="0">
                  <c:v>2015</c:v>
                </c:pt>
                <c:pt idx="1">
                  <c:v>2016</c:v>
                </c:pt>
                <c:pt idx="2">
                  <c:v>2017</c:v>
                </c:pt>
                <c:pt idx="3">
                  <c:v>2018</c:v>
                </c:pt>
                <c:pt idx="4">
                  <c:v>2019</c:v>
                </c:pt>
                <c:pt idx="5">
                  <c:v>2020</c:v>
                </c:pt>
                <c:pt idx="6">
                  <c:v>2021</c:v>
                </c:pt>
                <c:pt idx="7">
                  <c:v>2022</c:v>
                </c:pt>
                <c:pt idx="8">
                  <c:v>2023</c:v>
                </c:pt>
              </c:strCache>
            </c:strRef>
          </c:cat>
          <c:val>
            <c:numRef>
              <c:f>data__pregnancy!$B$5:$B$14</c:f>
              <c:numCache>
                <c:formatCode>General</c:formatCode>
                <c:ptCount val="9"/>
                <c:pt idx="0">
                  <c:v>157</c:v>
                </c:pt>
                <c:pt idx="1">
                  <c:v>159</c:v>
                </c:pt>
                <c:pt idx="2">
                  <c:v>176</c:v>
                </c:pt>
                <c:pt idx="3">
                  <c:v>195</c:v>
                </c:pt>
                <c:pt idx="4">
                  <c:v>218</c:v>
                </c:pt>
                <c:pt idx="5">
                  <c:v>273</c:v>
                </c:pt>
                <c:pt idx="6">
                  <c:v>297</c:v>
                </c:pt>
                <c:pt idx="7">
                  <c:v>363</c:v>
                </c:pt>
                <c:pt idx="8">
                  <c:v>6</c:v>
                </c:pt>
              </c:numCache>
            </c:numRef>
          </c:val>
          <c:extLst>
            <c:ext xmlns:c16="http://schemas.microsoft.com/office/drawing/2014/chart" uri="{C3380CC4-5D6E-409C-BE32-E72D297353CC}">
              <c16:uniqueId val="{00000000-7267-514F-8992-815DFF865674}"/>
            </c:ext>
          </c:extLst>
        </c:ser>
        <c:dLbls>
          <c:showLegendKey val="0"/>
          <c:showVal val="0"/>
          <c:showCatName val="0"/>
          <c:showSerName val="0"/>
          <c:showPercent val="0"/>
          <c:showBubbleSize val="0"/>
        </c:dLbls>
        <c:gapWidth val="219"/>
        <c:axId val="218406687"/>
        <c:axId val="642846815"/>
      </c:barChart>
      <c:lineChart>
        <c:grouping val="standard"/>
        <c:varyColors val="0"/>
        <c:ser>
          <c:idx val="1"/>
          <c:order val="1"/>
          <c:tx>
            <c:strRef>
              <c:f>data__pregnancy!$C$3:$C$4</c:f>
              <c:strCache>
                <c:ptCount val="1"/>
                <c:pt idx="0">
                  <c:v>2</c:v>
                </c:pt>
              </c:strCache>
            </c:strRef>
          </c:tx>
          <c:spPr>
            <a:ln w="28575" cap="rnd">
              <a:solidFill>
                <a:schemeClr val="accent2"/>
              </a:solidFill>
              <a:round/>
            </a:ln>
            <a:effectLst/>
          </c:spPr>
          <c:marker>
            <c:symbol val="none"/>
          </c:marker>
          <c:cat>
            <c:strRef>
              <c:f>data__pregnancy!$A$5:$A$14</c:f>
              <c:strCache>
                <c:ptCount val="9"/>
                <c:pt idx="0">
                  <c:v>2015</c:v>
                </c:pt>
                <c:pt idx="1">
                  <c:v>2016</c:v>
                </c:pt>
                <c:pt idx="2">
                  <c:v>2017</c:v>
                </c:pt>
                <c:pt idx="3">
                  <c:v>2018</c:v>
                </c:pt>
                <c:pt idx="4">
                  <c:v>2019</c:v>
                </c:pt>
                <c:pt idx="5">
                  <c:v>2020</c:v>
                </c:pt>
                <c:pt idx="6">
                  <c:v>2021</c:v>
                </c:pt>
                <c:pt idx="7">
                  <c:v>2022</c:v>
                </c:pt>
                <c:pt idx="8">
                  <c:v>2023</c:v>
                </c:pt>
              </c:strCache>
            </c:strRef>
          </c:cat>
          <c:val>
            <c:numRef>
              <c:f>data__pregnancy!$C$5:$C$14</c:f>
              <c:numCache>
                <c:formatCode>General</c:formatCode>
                <c:ptCount val="9"/>
                <c:pt idx="0">
                  <c:v>23998</c:v>
                </c:pt>
                <c:pt idx="1">
                  <c:v>33557</c:v>
                </c:pt>
                <c:pt idx="2">
                  <c:v>21723</c:v>
                </c:pt>
                <c:pt idx="3">
                  <c:v>29508</c:v>
                </c:pt>
                <c:pt idx="4">
                  <c:v>36222</c:v>
                </c:pt>
                <c:pt idx="5">
                  <c:v>38782</c:v>
                </c:pt>
                <c:pt idx="6">
                  <c:v>35187</c:v>
                </c:pt>
                <c:pt idx="7">
                  <c:v>43080</c:v>
                </c:pt>
                <c:pt idx="8">
                  <c:v>682</c:v>
                </c:pt>
              </c:numCache>
            </c:numRef>
          </c:val>
          <c:smooth val="0"/>
          <c:extLst>
            <c:ext xmlns:c16="http://schemas.microsoft.com/office/drawing/2014/chart" uri="{C3380CC4-5D6E-409C-BE32-E72D297353CC}">
              <c16:uniqueId val="{00000001-7267-514F-8992-815DFF865674}"/>
            </c:ext>
          </c:extLst>
        </c:ser>
        <c:dLbls>
          <c:showLegendKey val="0"/>
          <c:showVal val="0"/>
          <c:showCatName val="0"/>
          <c:showSerName val="0"/>
          <c:showPercent val="0"/>
          <c:showBubbleSize val="0"/>
        </c:dLbls>
        <c:marker val="1"/>
        <c:smooth val="0"/>
        <c:axId val="211809071"/>
        <c:axId val="642835407"/>
      </c:lineChart>
      <c:catAx>
        <c:axId val="218406687"/>
        <c:scaling>
          <c:orientation val="minMax"/>
        </c:scaling>
        <c:delete val="0"/>
        <c:axPos val="b"/>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2846815"/>
        <c:crosses val="autoZero"/>
        <c:auto val="1"/>
        <c:lblAlgn val="ctr"/>
        <c:lblOffset val="100"/>
        <c:noMultiLvlLbl val="0"/>
      </c:catAx>
      <c:valAx>
        <c:axId val="642846815"/>
        <c:scaling>
          <c:orientation val="minMax"/>
        </c:scaling>
        <c:delete val="0"/>
        <c:axPos val="l"/>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8406687"/>
        <c:crosses val="autoZero"/>
        <c:crossBetween val="between"/>
      </c:valAx>
      <c:valAx>
        <c:axId val="642835407"/>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09071"/>
        <c:crosses val="max"/>
        <c:crossBetween val="between"/>
      </c:valAx>
      <c:catAx>
        <c:axId val="211809071"/>
        <c:scaling>
          <c:orientation val="minMax"/>
        </c:scaling>
        <c:delete val="1"/>
        <c:axPos val="b"/>
        <c:numFmt formatCode="General" sourceLinked="1"/>
        <c:majorTickMark val="out"/>
        <c:minorTickMark val="none"/>
        <c:tickLblPos val="nextTo"/>
        <c:crossAx val="642835407"/>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[MALARIA_VIVAX_COLOMBIA_2015_2022.xlsx]data__hospitalized!data__hospitalized</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data__hospitalized!$B$3:$B$4</c:f>
              <c:strCache>
                <c:ptCount val="1"/>
                <c:pt idx="0">
                  <c:v>1</c:v>
                </c:pt>
              </c:strCache>
            </c:strRef>
          </c:tx>
          <c:spPr>
            <a:solidFill>
              <a:schemeClr val="accent1"/>
            </a:solidFill>
            <a:ln>
              <a:noFill/>
            </a:ln>
            <a:effectLst/>
            <a:sp3d/>
          </c:spPr>
          <c:invertIfNegative val="0"/>
          <c:cat>
            <c:strRef>
              <c:f>data__hospitalized!$A$5:$A$14</c:f>
              <c:strCache>
                <c:ptCount val="9"/>
                <c:pt idx="0">
                  <c:v>2015</c:v>
                </c:pt>
                <c:pt idx="1">
                  <c:v>2016</c:v>
                </c:pt>
                <c:pt idx="2">
                  <c:v>2017</c:v>
                </c:pt>
                <c:pt idx="3">
                  <c:v>2018</c:v>
                </c:pt>
                <c:pt idx="4">
                  <c:v>2019</c:v>
                </c:pt>
                <c:pt idx="5">
                  <c:v>2020</c:v>
                </c:pt>
                <c:pt idx="6">
                  <c:v>2021</c:v>
                </c:pt>
                <c:pt idx="7">
                  <c:v>2022</c:v>
                </c:pt>
                <c:pt idx="8">
                  <c:v>2023</c:v>
                </c:pt>
              </c:strCache>
            </c:strRef>
          </c:cat>
          <c:val>
            <c:numRef>
              <c:f>data__hospitalized!$B$5:$B$14</c:f>
              <c:numCache>
                <c:formatCode>General</c:formatCode>
                <c:ptCount val="9"/>
                <c:pt idx="0">
                  <c:v>1413</c:v>
                </c:pt>
                <c:pt idx="1">
                  <c:v>1699</c:v>
                </c:pt>
                <c:pt idx="2">
                  <c:v>1518</c:v>
                </c:pt>
                <c:pt idx="3">
                  <c:v>2261</c:v>
                </c:pt>
                <c:pt idx="4">
                  <c:v>3021</c:v>
                </c:pt>
                <c:pt idx="5">
                  <c:v>2118</c:v>
                </c:pt>
                <c:pt idx="6">
                  <c:v>2003</c:v>
                </c:pt>
                <c:pt idx="7">
                  <c:v>4264</c:v>
                </c:pt>
                <c:pt idx="8">
                  <c:v>86</c:v>
                </c:pt>
              </c:numCache>
            </c:numRef>
          </c:val>
          <c:extLst>
            <c:ext xmlns:c16="http://schemas.microsoft.com/office/drawing/2014/chart" uri="{C3380CC4-5D6E-409C-BE32-E72D297353CC}">
              <c16:uniqueId val="{00000000-E524-6F4E-99F8-8AD7253BB597}"/>
            </c:ext>
          </c:extLst>
        </c:ser>
        <c:ser>
          <c:idx val="1"/>
          <c:order val="1"/>
          <c:tx>
            <c:strRef>
              <c:f>data__hospitalized!$C$3:$C$4</c:f>
              <c:strCache>
                <c:ptCount val="1"/>
                <c:pt idx="0">
                  <c:v>2</c:v>
                </c:pt>
              </c:strCache>
            </c:strRef>
          </c:tx>
          <c:spPr>
            <a:solidFill>
              <a:schemeClr val="accent2"/>
            </a:solidFill>
            <a:ln>
              <a:noFill/>
            </a:ln>
            <a:effectLst/>
            <a:sp3d/>
          </c:spPr>
          <c:invertIfNegative val="0"/>
          <c:cat>
            <c:strRef>
              <c:f>data__hospitalized!$A$5:$A$14</c:f>
              <c:strCache>
                <c:ptCount val="9"/>
                <c:pt idx="0">
                  <c:v>2015</c:v>
                </c:pt>
                <c:pt idx="1">
                  <c:v>2016</c:v>
                </c:pt>
                <c:pt idx="2">
                  <c:v>2017</c:v>
                </c:pt>
                <c:pt idx="3">
                  <c:v>2018</c:v>
                </c:pt>
                <c:pt idx="4">
                  <c:v>2019</c:v>
                </c:pt>
                <c:pt idx="5">
                  <c:v>2020</c:v>
                </c:pt>
                <c:pt idx="6">
                  <c:v>2021</c:v>
                </c:pt>
                <c:pt idx="7">
                  <c:v>2022</c:v>
                </c:pt>
                <c:pt idx="8">
                  <c:v>2023</c:v>
                </c:pt>
              </c:strCache>
            </c:strRef>
          </c:cat>
          <c:val>
            <c:numRef>
              <c:f>data__hospitalized!$C$5:$C$14</c:f>
              <c:numCache>
                <c:formatCode>General</c:formatCode>
                <c:ptCount val="9"/>
                <c:pt idx="0">
                  <c:v>22742</c:v>
                </c:pt>
                <c:pt idx="1">
                  <c:v>32017</c:v>
                </c:pt>
                <c:pt idx="2">
                  <c:v>20381</c:v>
                </c:pt>
                <c:pt idx="3">
                  <c:v>27442</c:v>
                </c:pt>
                <c:pt idx="4">
                  <c:v>33419</c:v>
                </c:pt>
                <c:pt idx="5">
                  <c:v>36937</c:v>
                </c:pt>
                <c:pt idx="6">
                  <c:v>33481</c:v>
                </c:pt>
                <c:pt idx="7">
                  <c:v>39179</c:v>
                </c:pt>
                <c:pt idx="8">
                  <c:v>602</c:v>
                </c:pt>
              </c:numCache>
            </c:numRef>
          </c:val>
          <c:extLst>
            <c:ext xmlns:c16="http://schemas.microsoft.com/office/drawing/2014/chart" uri="{C3380CC4-5D6E-409C-BE32-E72D297353CC}">
              <c16:uniqueId val="{00000001-E524-6F4E-99F8-8AD7253BB597}"/>
            </c:ext>
          </c:extLst>
        </c:ser>
        <c:dLbls>
          <c:showLegendKey val="0"/>
          <c:showVal val="0"/>
          <c:showCatName val="0"/>
          <c:showSerName val="0"/>
          <c:showPercent val="0"/>
          <c:showBubbleSize val="0"/>
        </c:dLbls>
        <c:gapWidth val="219"/>
        <c:shape val="box"/>
        <c:axId val="218406687"/>
        <c:axId val="642846815"/>
        <c:axId val="219353407"/>
      </c:bar3DChart>
      <c:catAx>
        <c:axId val="218406687"/>
        <c:scaling>
          <c:orientation val="minMax"/>
        </c:scaling>
        <c:delete val="0"/>
        <c:axPos val="b"/>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2846815"/>
        <c:crosses val="autoZero"/>
        <c:auto val="1"/>
        <c:lblAlgn val="ctr"/>
        <c:lblOffset val="100"/>
        <c:noMultiLvlLbl val="0"/>
      </c:catAx>
      <c:valAx>
        <c:axId val="642846815"/>
        <c:scaling>
          <c:orientation val="minMax"/>
        </c:scaling>
        <c:delete val="0"/>
        <c:axPos val="l"/>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8406687"/>
        <c:crosses val="autoZero"/>
        <c:crossBetween val="between"/>
      </c:valAx>
      <c:serAx>
        <c:axId val="219353407"/>
        <c:scaling>
          <c:orientation val="minMax"/>
        </c:scaling>
        <c:delete val="0"/>
        <c:axPos val="b"/>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2846815"/>
        <c:crosses val="autoZero"/>
      </c:ser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Cases by Age Group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strRef>
              <c:f>data_age!$M$3:$M$11</c:f>
              <c:strCache>
                <c:ptCount val="9"/>
                <c:pt idx="0">
                  <c:v>0 to 10</c:v>
                </c:pt>
                <c:pt idx="1">
                  <c:v>11 to 20</c:v>
                </c:pt>
                <c:pt idx="2">
                  <c:v>21 to 30</c:v>
                </c:pt>
                <c:pt idx="3">
                  <c:v>31 to 40</c:v>
                </c:pt>
                <c:pt idx="4">
                  <c:v>41 to 50</c:v>
                </c:pt>
                <c:pt idx="5">
                  <c:v>51 to 60</c:v>
                </c:pt>
                <c:pt idx="6">
                  <c:v>61 to 70</c:v>
                </c:pt>
                <c:pt idx="7">
                  <c:v>71 to 80</c:v>
                </c:pt>
                <c:pt idx="8">
                  <c:v>81+</c:v>
                </c:pt>
              </c:strCache>
            </c:strRef>
          </c:cat>
          <c:val>
            <c:numRef>
              <c:f>data_age!$N$3:$N$11</c:f>
              <c:numCache>
                <c:formatCode>_(* #,##0_);_(* \(#,##0\);_(* "-"_);_(@_)</c:formatCode>
                <c:ptCount val="9"/>
                <c:pt idx="0">
                  <c:v>68127</c:v>
                </c:pt>
                <c:pt idx="1">
                  <c:v>69039</c:v>
                </c:pt>
                <c:pt idx="2">
                  <c:v>51261</c:v>
                </c:pt>
                <c:pt idx="3">
                  <c:v>33217</c:v>
                </c:pt>
                <c:pt idx="4">
                  <c:v>20603</c:v>
                </c:pt>
                <c:pt idx="5">
                  <c:v>13110</c:v>
                </c:pt>
                <c:pt idx="6">
                  <c:v>6164</c:v>
                </c:pt>
                <c:pt idx="7">
                  <c:v>2329</c:v>
                </c:pt>
                <c:pt idx="8">
                  <c:v>733</c:v>
                </c:pt>
              </c:numCache>
            </c:numRef>
          </c:val>
          <c:extLst>
            <c:ext xmlns:c16="http://schemas.microsoft.com/office/drawing/2014/chart" uri="{C3380CC4-5D6E-409C-BE32-E72D297353CC}">
              <c16:uniqueId val="{00000000-E800-BC4F-B972-5CCF8B0F776A}"/>
            </c:ext>
          </c:extLst>
        </c:ser>
        <c:dLbls>
          <c:showLegendKey val="0"/>
          <c:showVal val="0"/>
          <c:showCatName val="0"/>
          <c:showSerName val="0"/>
          <c:showPercent val="0"/>
          <c:showBubbleSize val="0"/>
        </c:dLbls>
        <c:gapWidth val="0"/>
        <c:overlap val="-27"/>
        <c:axId val="406906159"/>
        <c:axId val="21503567"/>
      </c:barChart>
      <c:catAx>
        <c:axId val="406906159"/>
        <c:scaling>
          <c:orientation val="minMax"/>
        </c:scaling>
        <c:delete val="0"/>
        <c:axPos val="b"/>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03567"/>
        <c:crosses val="autoZero"/>
        <c:auto val="1"/>
        <c:lblAlgn val="ctr"/>
        <c:lblOffset val="100"/>
        <c:noMultiLvlLbl val="0"/>
      </c:catAx>
      <c:valAx>
        <c:axId val="21503567"/>
        <c:scaling>
          <c:orientation val="minMax"/>
        </c:scaling>
        <c:delete val="0"/>
        <c:axPos val="l"/>
        <c:majorGridlines>
          <c:spPr>
            <a:ln w="9525">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9061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EFE5B-89C7-4212-BC51-2DB3BE789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11</Pages>
  <Words>2552</Words>
  <Characters>14547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Hafsoh Bolajoko</dc:creator>
  <cp:lastModifiedBy>Vikram Jeet Singh</cp:lastModifiedBy>
  <cp:revision>153</cp:revision>
  <cp:lastPrinted>2023-11-19T02:05:00Z</cp:lastPrinted>
  <dcterms:created xsi:type="dcterms:W3CDTF">2023-12-09T09:48:00Z</dcterms:created>
  <dcterms:modified xsi:type="dcterms:W3CDTF">2023-12-11T04:08:00Z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http://www.zotero.org/styles/american-political-science-association</vt:lpwstr>
  </property>
  <property fmtid="{D5CDD505-2E9C-101B-9397-08002B2CF9AE}" pid="5" name="Mendeley Recent Style Id 1_1">
    <vt:lpwstr>http://www.zotero.org/styles/apa</vt:lpwstr>
  </property>
  <property fmtid="{D5CDD505-2E9C-101B-9397-08002B2CF9AE}" pid="6" name="Mendeley Recent Style Id 2_1">
    <vt:lpwstr>http://www.zotero.org/styles/american-sociological-association</vt:lpwstr>
  </property>
  <property fmtid="{D5CDD505-2E9C-101B-9397-08002B2CF9AE}" pid="7" name="Mendeley Recent Style Id 3_1">
    <vt:lpwstr>http://www.zotero.org/styles/chicago-author-date</vt:lpwstr>
  </property>
  <property fmtid="{D5CDD505-2E9C-101B-9397-08002B2CF9AE}" pid="8" name="Mendeley Recent Style Id 4_1">
    <vt:lpwstr>http://www.zotero.org/styles/harvard-cite-them-right</vt:lpwstr>
  </property>
  <property fmtid="{D5CDD505-2E9C-101B-9397-08002B2CF9AE}" pid="9" name="Mendeley Recent Style Id 5_1">
    <vt:lpwstr>http://www.zotero.org/styles/ieee</vt:lpwstr>
  </property>
  <property fmtid="{D5CDD505-2E9C-101B-9397-08002B2CF9AE}" pid="10" name="Mendeley Recent Style Id 6_1">
    <vt:lpwstr>http://www.zotero.org/styles/modern-humanities-research-association</vt:lpwstr>
  </property>
  <property fmtid="{D5CDD505-2E9C-101B-9397-08002B2CF9AE}" pid="11" name="Mendeley Recent Style Id 7_1">
    <vt:lpwstr>http://www.zotero.org/styles/modern-language-association</vt:lpwstr>
  </property>
  <property fmtid="{D5CDD505-2E9C-101B-9397-08002B2CF9AE}" pid="12" name="Mendeley Recent Style Id 8_1">
    <vt:lpwstr>http://www.zotero.org/styles/nature</vt:lpwstr>
  </property>
  <property fmtid="{D5CDD505-2E9C-101B-9397-08002B2CF9AE}" pid="13" name="Mendeley Recent Style Id 9_1">
    <vt:lpwstr>http://www.zotero.org/styles/vancouver-superscript</vt:lpwstr>
  </property>
  <property fmtid="{D5CDD505-2E9C-101B-9397-08002B2CF9AE}" pid="14" name="Mendeley Recent Style Name 0_1">
    <vt:lpwstr>American Political Science Association</vt:lpwstr>
  </property>
  <property fmtid="{D5CDD505-2E9C-101B-9397-08002B2CF9AE}" pid="15" name="Mendeley Recent Style Name 1_1">
    <vt:lpwstr>American Psychological Association 7th edition</vt:lpwstr>
  </property>
  <property fmtid="{D5CDD505-2E9C-101B-9397-08002B2CF9AE}" pid="16" name="Mendeley Recent Style Name 2_1">
    <vt:lpwstr>American Sociological Association 6th edition</vt:lpwstr>
  </property>
  <property fmtid="{D5CDD505-2E9C-101B-9397-08002B2CF9AE}" pid="17" name="Mendeley Recent Style Name 3_1">
    <vt:lpwstr>Chicago Manual of Style 17th edition (author-date)</vt:lpwstr>
  </property>
  <property fmtid="{D5CDD505-2E9C-101B-9397-08002B2CF9AE}" pid="18" name="Mendeley Recent Style Name 4_1">
    <vt:lpwstr>Cite Them Right 11th edition - Harvard</vt:lpwstr>
  </property>
  <property fmtid="{D5CDD505-2E9C-101B-9397-08002B2CF9AE}" pid="19" name="Mendeley Recent Style Name 5_1">
    <vt:lpwstr>IEEE</vt:lpwstr>
  </property>
  <property fmtid="{D5CDD505-2E9C-101B-9397-08002B2CF9AE}" pid="20" name="Mendeley Recent Style Name 6_1">
    <vt:lpwstr>Modern Humanities Research Association 3rd edition (note with bibliography)</vt:lpwstr>
  </property>
  <property fmtid="{D5CDD505-2E9C-101B-9397-08002B2CF9AE}" pid="21" name="Mendeley Recent Style Name 7_1">
    <vt:lpwstr>Modern Language Association 9th edition</vt:lpwstr>
  </property>
  <property fmtid="{D5CDD505-2E9C-101B-9397-08002B2CF9AE}" pid="22" name="Mendeley Recent Style Name 8_1">
    <vt:lpwstr>Nature</vt:lpwstr>
  </property>
  <property fmtid="{D5CDD505-2E9C-101B-9397-08002B2CF9AE}" pid="23" name="Mendeley Recent Style Name 9_1">
    <vt:lpwstr>Vancouver (superscript)</vt:lpwstr>
  </property>
  <property fmtid="{D5CDD505-2E9C-101B-9397-08002B2CF9AE}" pid="24" name="Mendeley Unique User Id_1">
    <vt:lpwstr>d106c8c3-53fb-38fe-bfe6-fc0daad8243c</vt:lpwstr>
  </property>
</Properties>
</file>