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 Agentic Artificial-Intelligence System for Natural-Language Process Flowsheet Design and Optimization in DWSIM</w:t>
      </w:r>
    </w:p>
    <w:p>
      <w:pPr>
        <w:jc w:val="center"/>
      </w:pPr>
      <w:r>
        <w:rPr>
          <w:b w:val="0"/>
          <w:i w:val="0"/>
        </w:rPr>
        <w:t>Vishal Bhadauriya</w:t>
      </w:r>
    </w:p>
    <w:p>
      <w:pPr>
        <w:jc w:val="center"/>
      </w:pPr>
      <w:r>
        <w:rPr>
          <w:b w:val="0"/>
          <w:i/>
          <w:sz w:val="20"/>
        </w:rPr>
        <w:t>Department of Chemical Engineering, Harcourt Butler Technical University (HBTU), Kanpur, India</w:t>
      </w:r>
    </w:p>
    <w:p>
      <w:pPr>
        <w:jc w:val="center"/>
      </w:pPr>
      <w:r>
        <w:rPr>
          <w:b w:val="0"/>
          <w:i/>
          <w:sz w:val="18"/>
        </w:rPr>
        <w:t>Corresponding author. Prepared for submission to Computers &amp; Chemical Engineering.</w:t>
      </w:r>
    </w:p>
    <w:p>
      <w:pPr>
        <w:pStyle w:val="Heading1"/>
      </w:pPr>
      <w:r>
        <w:t>Abstract</w:t>
      </w:r>
    </w:p>
    <w:p>
      <w:pPr>
        <w:jc w:val="both"/>
      </w:pPr>
      <w:r>
        <w:rPr>
          <w:b w:val="0"/>
          <w:i w:val="0"/>
        </w:rPr>
        <w:t>Process flowsheet design and optimization are central to chemical engineering yet remain expert-, time-, and licence-intensive, with the field dominated by closed commercial suites. We present an agentic artificial-intelligence system that designs, builds, solves, and optimizes process flowsheets in the open-source steady-state simulator DWSIM directly from natural-language instructions. A tool-using large-language-model (LLM) agent executes a reason-act-observe loop over a 107-tool action space, with proactive retrieval-augmented generation, a deterministic safety validator, a synchronous quality guard, and provider-agnostic failover; it is coupled to the DWSIM .NET engine through a pythonnet integration bridge providing atomic build-and-solve, graph-based recycle auto-tearing, energy-stream injection, and read-back-after-write verification of every property write. Above a broad solver stack (CMA-ES, differential evolution, NSGA-II, NLopt, Bayesian/efficient global optimization, and SALib global sensitivity) we contribute five capabilities that close specific gaps between a black-box wrapper and a commercial optimizer: a provably-convergent derivative-free trust-region surrogate equation-oriented method; an infeasible-path simultaneous tear-and-optimize formulation; a multi-process parallel evaluator; a total-annualized-cost economic objective; and a thermodynamic-intelligence layer that auto-selects a theory-appropriate, engine-instantiable property package and quantifies thermodynamic model-form uncertainty rather than asserting fidelity parity. The system is evaluated at four levels of increasing realism: 558 automated component tests; exact agreement with closed-form and analytic optima for the optimizer stack (single-objective 5/5 standard functions, an NSGA-II Pareto front reproduced to a maximum deviation of 2.1x10^-5, and Sobol indices to 1.1x10^-3); live demonstrations on a DWSIM v9.0.5 engine, including a capstone case study (two-stage compression with intercooling) in which the optimizer drives a real flowsheet to an interior optimum matching the textbook closed-form value P*=sqrt(P1 P2)=3.162 bar by three independent methods; and a fully-wired four-condition component-attribution ablation. We position the contribution as Aspen-level optimization methodology over an open simulator, not Aspen-level simulation: two limitations - thermodynamic fidelity and true native equation-oriented optimization - are fundamental to building upon DWSIM and are stated explicitly, with the fidelity gap measured rather than hidden. The complete system, a content-hashed 25-task benchmark, append-only agent transcripts, and the ablation harness are released for reproducibility.</w:t>
      </w:r>
    </w:p>
    <w:p>
      <w:pPr>
        <w:jc w:val="both"/>
      </w:pPr>
      <w:r>
        <w:rPr>
          <w:b w:val="0"/>
          <w:i/>
        </w:rPr>
        <w:t>Keywords: agentic AI; large language models; tool use; process simulation; DWSIM; flowsheet optimization; equation-oriented optimization; thermodynamic model selection; uncertainty quantification; reproducible research.</w:t>
      </w:r>
    </w:p>
    <w:p>
      <w:pPr>
        <w:pStyle w:val="Heading1"/>
      </w:pPr>
      <w:r>
        <w:t>1. Introduction</w:t>
      </w:r>
    </w:p>
    <w:p>
      <w:pPr>
        <w:jc w:val="both"/>
      </w:pPr>
      <w:r>
        <w:rPr>
          <w:b w:val="0"/>
          <w:i w:val="0"/>
        </w:rPr>
        <w:t>Designing and optimizing a process flowsheet is a core competency of chemical engineering. In practice it requires an expert to operate a complex graphical simulator: choosing unit operations, selecting a thermodynamic property package appropriate to the chemistry and operating regime, specifying feed streams, connecting and converging recycle loops, and conducting sensitivity, parametric, or economic studies. The leading commercial tools are powerful and extensively validated, but they are closed, licensed, GUI-centric, and not programmable by non-experts in natural language. As a result, the barrier to entry for routine process-modelling tasks remains high, and the workflows are difficult to automate, audit, or reproduce.</w:t>
      </w:r>
    </w:p>
    <w:p>
      <w:pPr>
        <w:jc w:val="both"/>
      </w:pPr>
      <w:r>
        <w:rPr>
          <w:b w:val="0"/>
          <w:i w:val="0"/>
        </w:rPr>
        <w:t>Large language models equipped with external tools have recently shown an ability to plan and act over multi-step tasks by interleaving reasoning with tool invocation. Applying this paradigm to physics-grounded process simulation, however, is not straightforward. The agent must produce not merely plausible text but a correct, convergent flowsheet on a real numerical engine; it must bring optimization methodology of a standard comparable to commercial tools even though the underlying open simulator does not expose its equation system; and - if it is to be scientifically useful rather than a demonstration - it must report its capabilities honestly, neither overstating fidelity nor concealing where an open engine is fundamentally behind a commercial one.</w:t>
      </w:r>
    </w:p>
    <w:p>
      <w:pPr>
        <w:jc w:val="both"/>
      </w:pPr>
      <w:r>
        <w:rPr>
          <w:b/>
        </w:rPr>
        <w:t xml:space="preserve">Problem statement. </w:t>
      </w:r>
      <w:r>
        <w:t>We ask whether an LLM agent can operate a real open-source process simulator end-to-end from natural language while delivering commercial-grade optimization methodology and a calibrated, auditable account of its own validity. We target DWSIM, a mature open-source sequential-modular simulator, and build a system that plans, constructs, solves, optimizes, and analyses flowsheets, and that we evaluate against closed-form answers, the live engine, and a controlled ablation.</w:t>
      </w:r>
    </w:p>
    <w:p>
      <w:pPr>
        <w:jc w:val="both"/>
      </w:pPr>
      <w:r>
        <w:rPr>
          <w:b/>
        </w:rPr>
        <w:t xml:space="preserve">Contributions. </w:t>
      </w:r>
      <w:r>
        <w:t>This paper makes five contributions:</w:t>
      </w:r>
    </w:p>
    <w:p>
      <w:pPr>
        <w:pStyle w:val="ListNumber"/>
      </w:pPr>
      <w:r>
        <w:rPr>
          <w:b/>
        </w:rPr>
        <w:t xml:space="preserve">An end-to-end agentic system — </w:t>
      </w:r>
      <w:r>
        <w:t>that designs, builds, solves, and optimizes real DWSIM flowsheets from natural language, supported by a robustness-hardened integration bridge (atomic build/solve, graph-based recycle auto-tearing, energy-stream injection, read-back-after-write verification, dirty-state tracking) and a layered safety/quality guard.</w:t>
      </w:r>
    </w:p>
    <w:p>
      <w:pPr>
        <w:pStyle w:val="ListNumber"/>
      </w:pPr>
      <w:r>
        <w:rPr>
          <w:b/>
        </w:rPr>
        <w:t xml:space="preserve">Five optimization and analysis capabilities — </w:t>
      </w:r>
      <w:r>
        <w:t>addressing specific commercial-optimizer gaps: a trust-region surrogate equation-oriented method, an infeasible-path simultaneous formulation, a multi-process parallel evaluator, a total-annualized-cost objective, and a thermodynamic-intelligence layer; each is engine-agnostic and validated against a known answer.</w:t>
      </w:r>
    </w:p>
    <w:p>
      <w:pPr>
        <w:pStyle w:val="ListNumber"/>
      </w:pPr>
      <w:r>
        <w:rPr>
          <w:b/>
        </w:rPr>
        <w:t xml:space="preserve">A measured treatment of thermodynamic fidelity — </w:t>
      </w:r>
      <w:r>
        <w:t>auto-selection of a theory-appropriate, engine-instantiable property package from a registry covering all 28 packages DWSIM installs (mapped to commercial method names with the genuine gaps recorded), and quantification of model-form uncertainty by re-solving under the credible alternative packages.</w:t>
      </w:r>
    </w:p>
    <w:p>
      <w:pPr>
        <w:pStyle w:val="ListNumber"/>
      </w:pPr>
      <w:r>
        <w:rPr>
          <w:b/>
        </w:rPr>
        <w:t xml:space="preserve">A reproducibility package — </w:t>
      </w:r>
      <w:r>
        <w:t>558 component tests, a content-hashed 25-task benchmark with explicit success criteria, append-only reason-act-observe transcripts, and a fully-wired four-condition ablation harness with non-parametric statistics.</w:t>
      </w:r>
    </w:p>
    <w:p>
      <w:pPr>
        <w:pStyle w:val="ListNumber"/>
      </w:pPr>
      <w:r>
        <w:rPr>
          <w:b/>
        </w:rPr>
        <w:t xml:space="preserve">A live capstone result — </w:t>
      </w:r>
      <w:r>
        <w:t>an interior optimum with a closed-form answer reproduced on a real DWSIM flowsheet by three independent methods, isolating the optimizer-plus-engine coupling from any tuned parameter.</w:t>
      </w:r>
    </w:p>
    <w:p>
      <w:pPr>
        <w:jc w:val="both"/>
      </w:pPr>
      <w:r>
        <w:rPr>
          <w:b/>
        </w:rPr>
        <w:t xml:space="preserve">Organization. </w:t>
      </w:r>
      <w:r>
        <w:t>Section 2 surveys background and related work. Section 3 describes the system architecture. Section 4 formalizes the methods, including the optimization contributions and their governing equations. Section 5 details the experimental setup; Section 6 reports results; Section 7 discusses validity and limitations; Section 8 concludes.</w:t>
      </w:r>
    </w:p>
    <w:p>
      <w:pPr>
        <w:pStyle w:val="Heading1"/>
      </w:pPr>
      <w:r>
        <w:t>2. Background and Related Work</w:t>
      </w:r>
    </w:p>
    <w:p>
      <w:pPr>
        <w:pStyle w:val="Heading2"/>
      </w:pPr>
      <w:r>
        <w:t>2.1 Sequential-modular and equation-oriented simulation</w:t>
      </w:r>
    </w:p>
    <w:p>
      <w:pPr>
        <w:jc w:val="both"/>
      </w:pPr>
      <w:r>
        <w:rPr>
          <w:b w:val="0"/>
          <w:i w:val="0"/>
        </w:rPr>
        <w:t>Steady-state process simulators fall broadly into sequential-modular (SM) and equation-oriented (EO) paradigms. SM simulators evaluate unit operations in calculation order and converge recycles by tearing streams and iterating; they are robust and intuitive but couple optimization loosely, because each objective evaluation requires re-converging the flowsheet. EO simulators assemble the full set of model equations and solve them simultaneously, enabling efficient large-scale optimization but demanding good initialization and exposing the equation system. DWSIM is an SM simulator; consequently a native EO mode is not available, which shapes one of our contributions and one of our stated limitations.</w:t>
      </w:r>
    </w:p>
    <w:p>
      <w:pPr>
        <w:pStyle w:val="Heading2"/>
      </w:pPr>
      <w:r>
        <w:t>2.2 Optimization methodology for process systems</w:t>
      </w:r>
    </w:p>
    <w:p>
      <w:pPr>
        <w:jc w:val="both"/>
      </w:pPr>
      <w:r>
        <w:rPr>
          <w:b w:val="0"/>
          <w:i w:val="0"/>
        </w:rPr>
        <w:t>Feasible-path optimization converges each recycle before every objective evaluation, whereas infeasible-path (simultaneous) approaches promote tear-stream variables to decision variables and let an SQP solver converge the recycle and the objective together (Biegler, 2010). Derivative-free trust-region methods build local surrogate models and manage a trust region by an actual-to-predicted reduction ratio, with guaranteed convergence under standard assumptions (Conn, Scheinberg &amp; Vicente, 2009). Population and global methods - evolution strategies (Hansen, 2016), multi-objective genetic algorithms (Deb et al., 2002), and Bayesian/efficient global optimization (Jones, Schonlau &amp; Welch, 1998) - extend coverage to multimodal and multi-objective problems. Global sensitivity via variance decomposition (Sobol indices; Saltelli et al., 2008) and economic evaluation via power-law installed-cost correlations (Turton et al., 2018) complete a typical industrial toolkit.</w:t>
      </w:r>
    </w:p>
    <w:p>
      <w:pPr>
        <w:pStyle w:val="Heading2"/>
      </w:pPr>
      <w:r>
        <w:t>2.3 Tool-using language-model agents</w:t>
      </w:r>
    </w:p>
    <w:p>
      <w:pPr>
        <w:jc w:val="both"/>
      </w:pPr>
      <w:r>
        <w:rPr>
          <w:b w:val="0"/>
          <w:i w:val="0"/>
        </w:rPr>
        <w:t>Agentic LLM systems interleave chain-of-thought reasoning with tool calls, observing each result before deciding the next action (the reason-act-observe pattern; Yao et al., 2023), and augment the model with retrieved context (retrieval-augmented generation; Lewis et al., 2020). Such agents have been applied to software, the web, and scientific assistants, but their application to closed-loop control of a numerical process simulator - where every action mutates a physical model that must remain convergent and physically valid - is comparatively unexplored.</w:t>
      </w:r>
    </w:p>
    <w:p>
      <w:pPr>
        <w:pStyle w:val="Heading2"/>
      </w:pPr>
      <w:r>
        <w:t>2.4 Thermodynamic method selection and uncertainty</w:t>
      </w:r>
    </w:p>
    <w:p>
      <w:pPr>
        <w:jc w:val="both"/>
      </w:pPr>
      <w:r>
        <w:rPr>
          <w:b w:val="0"/>
          <w:i w:val="0"/>
        </w:rPr>
        <w:t>Selecting a property package is a classical source of error; established decision trees guide the choice by compound class and operating regime (Carlson, 1996). Beyond selection, the sensitivity of a result to the model choice (model-form uncertainty) is rarely surfaced automatically by commercial tools. We treat it as a first-class, reportable quantity, which is the basis of our honest position on fidelity.</w:t>
      </w:r>
    </w:p>
    <w:p>
      <w:pPr>
        <w:pStyle w:val="Heading1"/>
      </w:pPr>
      <w:r>
        <w:t>3. System Architecture</w:t>
      </w:r>
    </w:p>
    <w:p>
      <w:pPr>
        <w:jc w:val="both"/>
      </w:pPr>
      <w:r>
        <w:rPr>
          <w:b w:val="0"/>
          <w:i w:val="0"/>
        </w:rPr>
        <w:t>The system is organized in three layers (Figure 1): an agentic reasoning layer, a DWSIM integration layer, and an optimization/analysis layer, fronted by a FastAPI backend that clients (a browser chat UI and a Model-Context-Protocol client) address.</w:t>
      </w:r>
    </w:p>
    <w:p>
      <w:pPr>
        <w:jc w:val="center"/>
      </w:pPr>
      <w:r>
        <w:drawing>
          <wp:inline xmlns:a="http://schemas.openxmlformats.org/drawingml/2006/main" xmlns:pic="http://schemas.openxmlformats.org/drawingml/2006/picture">
            <wp:extent cx="5760720" cy="405043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4050433"/>
                    </a:xfrm>
                    <a:prstGeom prst="rect"/>
                  </pic:spPr>
                </pic:pic>
              </a:graphicData>
            </a:graphic>
          </wp:inline>
        </w:drawing>
      </w:r>
    </w:p>
    <w:p>
      <w:pPr>
        <w:jc w:val="center"/>
      </w:pPr>
      <w:r>
        <w:rPr>
          <w:b w:val="0"/>
          <w:i/>
          <w:sz w:val="18"/>
        </w:rPr>
        <w:t>Figure 1. System architecture. Clients reach only the FastAPI backend; the Agent Core calls the LLM providers through a failover client; the server-side subsystems (agent, orchestrators, optimizer stack, thermodynamic intelligence) converge on the pythonnet bridge to the DWSIM engine (FlowsheetSolver + DotNumerics).</w:t>
      </w:r>
    </w:p>
    <w:p>
      <w:pPr>
        <w:pStyle w:val="Heading2"/>
      </w:pPr>
      <w:r>
        <w:t>3.1 Agentic reasoning layer</w:t>
      </w:r>
    </w:p>
    <w:p>
      <w:pPr>
        <w:jc w:val="both"/>
      </w:pPr>
      <w:r>
        <w:rPr>
          <w:b w:val="0"/>
          <w:i w:val="0"/>
        </w:rPr>
        <w:t>A tool-using agent plans, calls a tool, observes the structured result, and iterates up to a fixed budget per turn. A persistent state card summarizing the active flowsheet (name, compounds, property package, stream and unit-op counts) is injected each turn so the model never reconstructs state from a compressed history. Dynamic tool selection filters the 107-tool catalogue to a phase-relevant subset, controlling prompt size and improving tool-selection accuracy. A synchronous quality heuristic blocks common failure modes (numerical claims unsupported by a tool call, ignored convergence errors), and an asynchronous LLM-as-judge scores responses. A provider-agnostic client normalizes conversation history across providers and fails over automatically.</w:t>
      </w:r>
    </w:p>
    <w:p>
      <w:pPr>
        <w:pStyle w:val="Heading2"/>
      </w:pPr>
      <w:r>
        <w:t>3.2 DWSIM integration layer</w:t>
      </w:r>
    </w:p>
    <w:p>
      <w:pPr>
        <w:jc w:val="both"/>
      </w:pPr>
      <w:r>
        <w:rPr>
          <w:b w:val="0"/>
          <w:i w:val="0"/>
        </w:rPr>
        <w:t>A pythonnet bridge exposes the DWSIM .NET engine to Python. Beyond simple wrappers it provides: an atomic build-and-solve primitive that validates a full topology specification before execution; recycle auto-tearing by graph cycle detection with automatic tear-stream insertion; energy-stream injection for units that require duty connections; read-back-after-write verification, which re-reads every property write in SI units and flags writes that did not persist (for example, an attempt to set a calculated rather than a specifiable property); dirty-state tracking that marks reads after an unsolved edit as stale; and a grounded thermodynamic-model registry mapping all 28 installed property packages to commercial method names with applicability domains.</w:t>
      </w:r>
    </w:p>
    <w:p>
      <w:pPr>
        <w:pStyle w:val="Heading2"/>
      </w:pPr>
      <w:r>
        <w:t>3.3 Optimization and analysis layer</w:t>
      </w:r>
    </w:p>
    <w:p>
      <w:pPr>
        <w:jc w:val="both"/>
      </w:pPr>
      <w:r>
        <w:rPr>
          <w:b w:val="0"/>
          <w:i w:val="0"/>
        </w:rPr>
        <w:t>A natural-language optimization orchestrator applies admissibility gates (rejecting hollow or ill-posed objectives) and dispatches to a solver stack comprising local and global single-objective methods, NSGA-II for multi-objective problems, NLopt-based constrained solvers, Bayesian/EGO, and SALib global sensitivity, each degrading gracefully to a SciPy baseline. The five contributions of Section 4 extend this layer.</w:t>
      </w:r>
    </w:p>
    <w:p>
      <w:pPr>
        <w:pStyle w:val="Heading1"/>
      </w:pPr>
      <w:r>
        <w:t>4. Methods</w:t>
      </w:r>
    </w:p>
    <w:p>
      <w:pPr>
        <w:pStyle w:val="Heading2"/>
      </w:pPr>
      <w:r>
        <w:t>4.1 The agent loop</w:t>
      </w:r>
    </w:p>
    <w:p>
      <w:pPr>
        <w:jc w:val="both"/>
      </w:pPr>
      <w:r>
        <w:rPr>
          <w:b w:val="0"/>
          <w:i w:val="0"/>
        </w:rPr>
        <w:t>Each user turn executes the loop in Algorithm 1. The loop terminates when the model returns a final answer without tool calls, when a circuit breaker detects repeated identical tool errors, or when the iteration budget is exhausted.</w:t>
      </w:r>
    </w:p>
    <w:p>
      <w:pPr>
        <w:jc w:val="left"/>
      </w:pPr>
      <w:r>
        <w:rPr>
          <w:b/>
          <w:i w:val="0"/>
          <w:sz w:val="20"/>
        </w:rPr>
        <w:t>Algorithm 1. Reason-act-observe turn.</w:t>
      </w:r>
    </w:p>
    <w:p>
      <w:pPr>
        <w:spacing w:after="0"/>
        <w:ind w:left="432"/>
      </w:pPr>
      <w:r>
        <w:rPr>
          <w:rFonts w:ascii="Consolas" w:hAnsi="Consolas"/>
          <w:sz w:val="18"/>
        </w:rPr>
        <w:t>input: user message u; history H; tool catalogue T</w:t>
      </w:r>
    </w:p>
    <w:p>
      <w:pPr>
        <w:spacing w:after="0"/>
        <w:ind w:left="432"/>
      </w:pPr>
      <w:r>
        <w:rPr>
          <w:rFonts w:ascii="Consolas" w:hAnsi="Consolas"/>
          <w:sz w:val="18"/>
        </w:rPr>
        <w:t>inject state card s(flowsheet) into H</w:t>
      </w:r>
    </w:p>
    <w:p>
      <w:pPr>
        <w:spacing w:after="0"/>
        <w:ind w:left="432"/>
      </w:pPr>
      <w:r>
        <w:rPr>
          <w:rFonts w:ascii="Consolas" w:hAnsi="Consolas"/>
          <w:sz w:val="18"/>
        </w:rPr>
        <w:t>for k = 1 .. K_max do</w:t>
      </w:r>
    </w:p>
    <w:p>
      <w:pPr>
        <w:spacing w:after="0"/>
        <w:ind w:left="432"/>
      </w:pPr>
      <w:r>
        <w:rPr>
          <w:rFonts w:ascii="Consolas" w:hAnsi="Consolas"/>
          <w:sz w:val="18"/>
        </w:rPr>
        <w:t xml:space="preserve">    A &lt;- select_active_tools(T, phase)      # dynamic filtering</w:t>
      </w:r>
    </w:p>
    <w:p>
      <w:pPr>
        <w:spacing w:after="0"/>
        <w:ind w:left="432"/>
      </w:pPr>
      <w:r>
        <w:rPr>
          <w:rFonts w:ascii="Consolas" w:hAnsi="Consolas"/>
          <w:sz w:val="18"/>
        </w:rPr>
        <w:t xml:space="preserve">    r &lt;- LLM(system_prompt + RAG(u), H, A)  # provider failover</w:t>
      </w:r>
    </w:p>
    <w:p>
      <w:pPr>
        <w:spacing w:after="0"/>
        <w:ind w:left="432"/>
      </w:pPr>
      <w:r>
        <w:rPr>
          <w:rFonts w:ascii="Consolas" w:hAnsi="Consolas"/>
          <w:sz w:val="18"/>
        </w:rPr>
        <w:t xml:space="preserve">    if r has no tool calls: return guard(r) # quality heuristic + judge</w:t>
      </w:r>
    </w:p>
    <w:p>
      <w:pPr>
        <w:spacing w:after="0"/>
        <w:ind w:left="432"/>
      </w:pPr>
      <w:r>
        <w:rPr>
          <w:rFonts w:ascii="Consolas" w:hAnsi="Consolas"/>
          <w:sz w:val="18"/>
        </w:rPr>
        <w:t xml:space="preserve">    for each tool call c in order(r): obs &lt;- execute(c); append to H</w:t>
      </w:r>
    </w:p>
    <w:p>
      <w:pPr>
        <w:spacing w:after="0"/>
        <w:ind w:left="432"/>
      </w:pPr>
      <w:r>
        <w:rPr>
          <w:rFonts w:ascii="Consolas" w:hAnsi="Consolas"/>
          <w:sz w:val="18"/>
        </w:rPr>
        <w:t>return last_resort_summary()</w:t>
      </w:r>
    </w:p>
    <w:p>
      <w:pPr>
        <w:pStyle w:val="Heading2"/>
      </w:pPr>
      <w:r>
        <w:t>4.2 Trust-region surrogate equation-oriented optimization</w:t>
      </w:r>
    </w:p>
    <w:p>
      <w:pPr>
        <w:jc w:val="both"/>
      </w:pPr>
      <w:r>
        <w:rPr>
          <w:b w:val="0"/>
          <w:i w:val="0"/>
        </w:rPr>
        <w:t>Because DWSIM does not expose its equations, open-equation optimization is replaced by a surrogate approach: design-of-experiments, an algebraic local model, a model subproblem, and validation against the true engine. We upgrade the classical one-shot global-quadratic fit to a derivative-free trust-region scheme. At iterate x_k a local quadratic model m_k is fitted within a trust region of radius Delta_k and minimized to a trial step s_k. The step is accepted or rejected by the ratio of actual to predicted reduction,</w:t>
      </w:r>
    </w:p>
    <w:p>
      <w:pPr>
        <w:jc w:val="center"/>
      </w:pPr>
      <w:r>
        <w:rPr>
          <w:i/>
          <w:sz w:val="22"/>
        </w:rPr>
        <w:t>rho_k = [ f(x_k) - f(x_k + s_k) ] / [ m_k(x_k) - m_k(x_k + s_k) ],</w:t>
      </w:r>
      <w:r>
        <w:rPr>
          <w:sz w:val="22"/>
        </w:rPr>
        <w:t xml:space="preserve">        (1)</w:t>
      </w:r>
    </w:p>
    <w:p>
      <w:pPr>
        <w:jc w:val="both"/>
      </w:pPr>
      <w:r>
        <w:rPr>
          <w:b w:val="0"/>
          <w:i w:val="0"/>
        </w:rPr>
        <w:t>with the radius updated as</w:t>
      </w:r>
    </w:p>
    <w:p>
      <w:pPr>
        <w:jc w:val="center"/>
      </w:pPr>
      <w:r>
        <w:rPr>
          <w:i/>
          <w:sz w:val="22"/>
        </w:rPr>
        <w:t>Delta_{k+1} = gamma_inc * Delta_k if rho_k &gt;= eta_2 ; Delta_k if eta_1 &lt;= rho_k &lt; eta_2 ; gamma_dec * Delta_k otherwise,</w:t>
      </w:r>
      <w:r>
        <w:rPr>
          <w:sz w:val="22"/>
        </w:rPr>
        <w:t xml:space="preserve">        (2)</w:t>
      </w:r>
    </w:p>
    <w:p>
      <w:pPr>
        <w:jc w:val="both"/>
      </w:pPr>
      <w:r>
        <w:rPr>
          <w:b w:val="0"/>
          <w:i w:val="0"/>
        </w:rPr>
        <w:t>and the step accepted when rho_k &gt;= eta_1 (typical eta_1=0.1, eta_2=0.75, gamma_dec=0.5, gamma_inc=2). Shrinkage on rejection guarantees eventual progress, giving a provably-convergent model-management scheme (Conn, Scheinberg &amp; Vicente, 2009).</w:t>
      </w:r>
    </w:p>
    <w:p>
      <w:pPr>
        <w:pStyle w:val="Heading2"/>
      </w:pPr>
      <w:r>
        <w:t>4.3 Infeasible-path simultaneous optimization</w:t>
      </w:r>
    </w:p>
    <w:p>
      <w:pPr>
        <w:jc w:val="both"/>
      </w:pPr>
      <w:r>
        <w:rPr>
          <w:b w:val="0"/>
          <w:i w:val="0"/>
        </w:rPr>
        <w:t>For flowsheets with recycles, feasible-path optimization re-converges every loop before each objective evaluation. The infeasible-path formulation promotes the recycle tear variables y to decision variables alongside the design variables x and imposes the loop-closure equations as equality constraints:</w:t>
      </w:r>
    </w:p>
    <w:p>
      <w:pPr>
        <w:jc w:val="center"/>
      </w:pPr>
      <w:r>
        <w:rPr>
          <w:i/>
          <w:sz w:val="22"/>
        </w:rPr>
        <w:t>min_{x,y}  f(x,y)   s.t.   g(x,y) &lt;= 0,   y - h(x,y) = 0,</w:t>
      </w:r>
      <w:r>
        <w:rPr>
          <w:sz w:val="22"/>
        </w:rPr>
        <w:t xml:space="preserve">        (3)</w:t>
      </w:r>
    </w:p>
    <w:p>
      <w:pPr>
        <w:jc w:val="both"/>
      </w:pPr>
      <w:r>
        <w:rPr>
          <w:b w:val="0"/>
          <w:i w:val="0"/>
        </w:rPr>
        <w:t>where y - h(x,y) = 0 expresses tear-stream consistency (the computed recycle equals the assumed tear). An SQP solver converges the recycle and the objective simultaneously, requiring a single flowsheet pass per evaluation instead of an inner convergence loop. On an analytic reactor-with-recycle benchmark this reduced the number of passes from 230 to 18 (a 12.8x reduction) while reaching the identical optimum.</w:t>
      </w:r>
    </w:p>
    <w:p>
      <w:pPr>
        <w:pStyle w:val="Heading2"/>
      </w:pPr>
      <w:r>
        <w:t>4.4 Multi-process parallel evaluator</w:t>
      </w:r>
    </w:p>
    <w:p>
      <w:pPr>
        <w:jc w:val="both"/>
      </w:pPr>
      <w:r>
        <w:rPr>
          <w:b w:val="0"/>
          <w:i w:val="0"/>
        </w:rPr>
        <w:t>DWSIM hosts a single common-language-runtime instance per process. To evaluate a batch of designs concurrently (the primitive needed by population optimizers and sweeps), a process pool is used in which each worker initializes its own runtime and loads a copy of the flowsheet once via a pool initializer. Correctness is exact (parallel equals serial, order preserved); the speed-up is workload-dependent, because per-worker runtime initialization (~30 s) dominates small batches and pays off only with a persistent pool over many generations - a limitation we report rather than obscure.</w:t>
      </w:r>
    </w:p>
    <w:p>
      <w:pPr>
        <w:pStyle w:val="Heading2"/>
      </w:pPr>
      <w:r>
        <w:t>4.5 Total-annualized-cost objective</w:t>
      </w:r>
    </w:p>
    <w:p>
      <w:pPr>
        <w:jc w:val="both"/>
      </w:pPr>
      <w:r>
        <w:rPr>
          <w:b w:val="0"/>
          <w:i w:val="0"/>
        </w:rPr>
        <w:t>The canonical economic-optimization target is the total annualized cost, combining annualized capital and operating expenditure:</w:t>
      </w:r>
    </w:p>
    <w:p>
      <w:pPr>
        <w:jc w:val="center"/>
      </w:pPr>
      <w:r>
        <w:rPr>
          <w:i/>
          <w:sz w:val="22"/>
        </w:rPr>
        <w:t>TAC = CRF(r,n) * CAPEX_installed + OPEX_annual,</w:t>
      </w:r>
      <w:r>
        <w:rPr>
          <w:sz w:val="22"/>
        </w:rPr>
        <w:t xml:space="preserve">        (4)</w:t>
      </w:r>
    </w:p>
    <w:p>
      <w:pPr>
        <w:jc w:val="both"/>
      </w:pPr>
      <w:r>
        <w:rPr>
          <w:b w:val="0"/>
          <w:i w:val="0"/>
        </w:rPr>
        <w:t>with the capital recovery factor</w:t>
      </w:r>
    </w:p>
    <w:p>
      <w:pPr>
        <w:jc w:val="center"/>
      </w:pPr>
      <w:r>
        <w:rPr>
          <w:i/>
          <w:sz w:val="22"/>
        </w:rPr>
        <w:t>CRF(r,n) = r (1+r)^n / [ (1+r)^n - 1 ],</w:t>
      </w:r>
      <w:r>
        <w:rPr>
          <w:sz w:val="22"/>
        </w:rPr>
        <w:t xml:space="preserve">        (5)</w:t>
      </w:r>
    </w:p>
    <w:p>
      <w:pPr>
        <w:jc w:val="both"/>
      </w:pPr>
      <w:r>
        <w:rPr>
          <w:b w:val="0"/>
          <w:i w:val="0"/>
        </w:rPr>
        <w:t>and size-dependent installed capital from a Turton-type power law</w:t>
      </w:r>
    </w:p>
    <w:p>
      <w:pPr>
        <w:jc w:val="center"/>
      </w:pPr>
      <w:r>
        <w:rPr>
          <w:i/>
          <w:sz w:val="22"/>
        </w:rPr>
        <w:t>C_installed = a * S^b * F_BM   (b &lt; 1, economy of scale).</w:t>
      </w:r>
      <w:r>
        <w:rPr>
          <w:sz w:val="22"/>
        </w:rPr>
        <w:t xml:space="preserve">        (6)</w:t>
      </w:r>
    </w:p>
    <w:p>
      <w:pPr>
        <w:jc w:val="both"/>
      </w:pPr>
      <w:r>
        <w:rPr>
          <w:b w:val="0"/>
          <w:i w:val="0"/>
        </w:rPr>
        <w:t>The size dependence of CAPEX traded against utility OPEX creates the convex trade-off an optimizer exploits when instructed to minimize the TAC of a unit. The arithmetic was verified against hand calculation and the optimizer located the exact interior cost optimum on a convex CAPEX-OPEX trade-off.</w:t>
      </w:r>
    </w:p>
    <w:p>
      <w:pPr>
        <w:pStyle w:val="Heading2"/>
      </w:pPr>
      <w:r>
        <w:t>4.6 Thermodynamic intelligence</w:t>
      </w:r>
    </w:p>
    <w:p>
      <w:pPr>
        <w:jc w:val="both"/>
      </w:pPr>
      <w:r>
        <w:rPr>
          <w:b w:val="0"/>
          <w:i w:val="0"/>
        </w:rPr>
        <w:t>Given a compound set and operating conditions, a classifier derives system flags (polar, electrolyte, hydrocarbon, water-only, natural-gas, high-pressure, cryogenic). From these, a registry returns a recommended package that is guaranteed instantiable in DWSIM and a ranked list of credible alternative packages for the chemistry. The same flowsheet is then re-solved under each alternative, and for every observed output the spread is summarized; the relative spread of a quantity with values v across models is</w:t>
      </w:r>
    </w:p>
    <w:p>
      <w:pPr>
        <w:jc w:val="center"/>
      </w:pPr>
      <w:r>
        <w:rPr>
          <w:i/>
          <w:sz w:val="22"/>
        </w:rPr>
        <w:t>rel_spread(%) = 100 * (max v - min v) / |mean v|,</w:t>
      </w:r>
      <w:r>
        <w:rPr>
          <w:sz w:val="22"/>
        </w:rPr>
        <w:t xml:space="preserve">        (7)</w:t>
      </w:r>
    </w:p>
    <w:p>
      <w:pPr>
        <w:jc w:val="both"/>
      </w:pPr>
      <w:r>
        <w:rPr>
          <w:b w:val="0"/>
          <w:i w:val="0"/>
        </w:rPr>
        <w:t>and a result is reported as robust when the maximum relative spread is below a threshold (default 5%), otherwise as model-dependent with the most-sensitive output identified. Where DWSIM offers only one credible model (for example, aqueous electrolytes), the system states that a model-form spread cannot be formed rather than fabricating a comparison - the honest counterpart to the fidelity limitation.</w:t>
      </w:r>
    </w:p>
    <w:p>
      <w:pPr>
        <w:pStyle w:val="Heading2"/>
      </w:pPr>
      <w:r>
        <w:t>4.7 Safety validation and quality guard</w:t>
      </w:r>
    </w:p>
    <w:p>
      <w:pPr>
        <w:jc w:val="both"/>
      </w:pPr>
      <w:r>
        <w:rPr>
          <w:b w:val="0"/>
          <w:i w:val="0"/>
        </w:rPr>
        <w:t>A deterministic safety validator runs pre- and post-solve checks (non-physical temperatures or pressures, energy-balance consistency, vapor-fraction sanity), and a synchronous quality heuristic inspects agent output for unsupported numerical claims and ignored convergence errors. These subsystems are toggled off in the corresponding ablation conditions to measure their contribution.</w:t>
      </w:r>
    </w:p>
    <w:p>
      <w:pPr>
        <w:pStyle w:val="Heading1"/>
      </w:pPr>
      <w:r>
        <w:t>5. Experimental Setup</w:t>
      </w:r>
    </w:p>
    <w:p>
      <w:pPr>
        <w:pStyle w:val="Heading2"/>
      </w:pPr>
      <w:r>
        <w:t>5.1 Implementation and environment</w:t>
      </w:r>
    </w:p>
    <w:p>
      <w:pPr>
        <w:jc w:val="both"/>
      </w:pPr>
      <w:r>
        <w:rPr>
          <w:b w:val="0"/>
          <w:i w:val="0"/>
        </w:rPr>
        <w:t>The system is implemented in Python and runs against DWSIM v9.0.5 via pythonnet on Windows. The optimizer contributions are engine-agnostic (they operate on an evaluate/one-pass callback), which permits validation on problems with known answers independently of DWSIM and the LLM.</w:t>
      </w:r>
    </w:p>
    <w:p>
      <w:pPr>
        <w:pStyle w:val="Heading2"/>
      </w:pPr>
      <w:r>
        <w:t>5.2 Levels of evidence</w:t>
      </w:r>
    </w:p>
    <w:p>
      <w:pPr>
        <w:jc w:val="both"/>
      </w:pPr>
      <w:r>
        <w:rPr>
          <w:b w:val="0"/>
          <w:i w:val="0"/>
        </w:rPr>
        <w:t>Four complementary levels are used: (i) automated component tests with mock bridge/agent; (ii) optimizer validation against closed-form and analytic optima; (iii) live-engine demonstration, including a closed-form capstone; and (iv) a controlled component-attribution ablation.</w:t>
      </w:r>
    </w:p>
    <w:p>
      <w:pPr>
        <w:pStyle w:val="Heading2"/>
      </w:pPr>
      <w:r>
        <w:t>5.3 Benchmark design</w:t>
      </w:r>
    </w:p>
    <w:p>
      <w:pPr>
        <w:jc w:val="both"/>
      </w:pPr>
      <w:r>
        <w:rPr>
          <w:b w:val="0"/>
          <w:i w:val="0"/>
        </w:rPr>
        <w:t>A fixed 25-task benchmark spans eight categories (single- and multi-unit creation, flowsheet analysis, property modification, parametric study, distillation, reactors, and convergence repair) and three complexity levels. Each task carries a verbatim natural-language prompt, an expected property package, quantitative success criteria with tolerances, and physical-plausibility constraints. The task set is frozen and content-hashed so the benchmark is immutable and citable.</w:t>
      </w:r>
    </w:p>
    <w:p>
      <w:pPr>
        <w:pStyle w:val="Heading2"/>
      </w:pPr>
      <w:r>
        <w:t>5.4 Ablation design and statistics</w:t>
      </w:r>
    </w:p>
    <w:p>
      <w:pPr>
        <w:jc w:val="both"/>
      </w:pPr>
      <w:r>
        <w:rPr>
          <w:b w:val="0"/>
          <w:i w:val="0"/>
        </w:rPr>
        <w:t>Four conditions isolate each subsystem: A = Full System; B = No-RAG (retrieval disabled); C = No-SafetyValidator (pre- and post-solve checks disabled); D = Direct-LLM (no tools). A single environment variable selects the condition and implies determinism (temperature 0 on every attempt) and a provider lock (no cross-provider failover), so all conditions share an identical configuration. Per task the runner records success (1/0, or -1 for not-applicable), tool-call count, wall time, error-recovery events, and safety violations, writing one JSON-lines record per task. Conditions are compared by a Kruskal-Wallis omnibus test, then pairwise Mann-Whitney U tests with Holm-Bonferroni correction, and Cohen's d effect sizes,</w:t>
      </w:r>
    </w:p>
    <w:p>
      <w:pPr>
        <w:jc w:val="center"/>
      </w:pPr>
      <w:r>
        <w:rPr>
          <w:i/>
          <w:sz w:val="22"/>
        </w:rPr>
        <w:t>d = (mean_1 - mean_2) / s_pooled,</w:t>
      </w:r>
      <w:r>
        <w:rPr>
          <w:sz w:val="22"/>
        </w:rPr>
        <w:t xml:space="preserve">        (8)</w:t>
      </w:r>
    </w:p>
    <w:p>
      <w:pPr>
        <w:jc w:val="both"/>
      </w:pPr>
      <w:r>
        <w:rPr>
          <w:b w:val="0"/>
          <w:i w:val="0"/>
        </w:rPr>
        <w:t>with exact p-values reported. The entire pipeline is verified end-to-end without quota by a mock-agent round-trip test and a live smoke run; obtaining the statistical results requires only LLM throughput, not additional code.</w:t>
      </w:r>
    </w:p>
    <w:p>
      <w:pPr>
        <w:pStyle w:val="Heading1"/>
      </w:pPr>
      <w:r>
        <w:t>6. Results</w:t>
      </w:r>
    </w:p>
    <w:p>
      <w:pPr>
        <w:pStyle w:val="Heading2"/>
      </w:pPr>
      <w:r>
        <w:t>6.1 Component-level correctness</w:t>
      </w:r>
    </w:p>
    <w:p>
      <w:pPr>
        <w:jc w:val="both"/>
      </w:pPr>
      <w:r>
        <w:rPr>
          <w:b w:val="0"/>
          <w:i w:val="0"/>
        </w:rPr>
        <w:t>The automated suite reports 558 passed and 5 skipped (the skips require a live DWSIM and self-skip), covering tool selection and sequencing, optimizer convergence on analytic objectives, the recycle and energy-stream passes, provider failover, history normalization, the bridge regression tests, the thermodynamic-model registry, and the ablation-runner round-trip.</w:t>
      </w:r>
    </w:p>
    <w:p>
      <w:pPr>
        <w:pStyle w:val="Heading2"/>
      </w:pPr>
      <w:r>
        <w:t>6.2 Optimizer-algorithm validation (analytic, exact)</w:t>
      </w:r>
    </w:p>
    <w:p>
      <w:pPr>
        <w:jc w:val="both"/>
      </w:pPr>
      <w:r>
        <w:rPr>
          <w:b w:val="0"/>
          <w:i/>
          <w:sz w:val="18"/>
        </w:rPr>
        <w:t>Table 1. Optimizer validation against closed-form and analytic optima.</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Modality</w:t>
            </w:r>
          </w:p>
        </w:tc>
        <w:tc>
          <w:tcPr>
            <w:tcW w:type="dxa" w:w="4320"/>
          </w:tcPr>
          <w:p>
            <w:r/>
            <w:r>
              <w:rPr>
                <w:b/>
              </w:rPr>
              <w:t>Result</w:t>
            </w:r>
          </w:p>
        </w:tc>
      </w:tr>
      <w:tr>
        <w:tc>
          <w:tcPr>
            <w:tcW w:type="dxa" w:w="4320"/>
          </w:tcPr>
          <w:p>
            <w:r>
              <w:t>Single-objective global search (5 standard functions, min 0)</w:t>
            </w:r>
          </w:p>
        </w:tc>
        <w:tc>
          <w:tcPr>
            <w:tcW w:type="dxa" w:w="4320"/>
          </w:tcPr>
          <w:p>
            <w:r>
              <w:t>5/5 functions solved by at least one shipped solver</w:t>
            </w:r>
          </w:p>
        </w:tc>
      </w:tr>
      <w:tr>
        <w:tc>
          <w:tcPr>
            <w:tcW w:type="dxa" w:w="4320"/>
          </w:tcPr>
          <w:p>
            <w:r>
              <w:t>Multi-objective (NSGA-II, non-convex front)</w:t>
            </w:r>
          </w:p>
        </w:tc>
        <w:tc>
          <w:tcPr>
            <w:tcW w:type="dxa" w:w="4320"/>
          </w:tcPr>
          <w:p>
            <w:r>
              <w:t>40-point front, maximum deviation 2.1x10^-5 from the analytic front</w:t>
            </w:r>
          </w:p>
        </w:tc>
      </w:tr>
      <w:tr>
        <w:tc>
          <w:tcPr>
            <w:tcW w:type="dxa" w:w="4320"/>
          </w:tcPr>
          <w:p>
            <w:r>
              <w:t>Global sensitivity (Sobol indices on Ishigami)</w:t>
            </w:r>
          </w:p>
        </w:tc>
        <w:tc>
          <w:tcPr>
            <w:tcW w:type="dxa" w:w="4320"/>
          </w:tcPr>
          <w:p>
            <w:r>
              <w:t>match textbook analytical values to a max total-order error of 0.0011</w:t>
            </w:r>
          </w:p>
        </w:tc>
      </w:tr>
    </w:tbl>
    <w:p/>
    <w:p>
      <w:pPr>
        <w:pStyle w:val="Heading2"/>
      </w:pPr>
      <w:r>
        <w:t>6.3 Aspen-parity contributions</w:t>
      </w:r>
    </w:p>
    <w:p>
      <w:pPr>
        <w:jc w:val="both"/>
      </w:pPr>
      <w:r>
        <w:rPr>
          <w:b w:val="0"/>
          <w:i/>
          <w:sz w:val="18"/>
        </w:rPr>
        <w:t>Table 2. The five contributions: validation against known answers and live-engine status.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Contribution</w:t>
            </w:r>
          </w:p>
        </w:tc>
        <w:tc>
          <w:tcPr>
            <w:tcW w:type="dxa" w:w="2880"/>
          </w:tcPr>
          <w:p>
            <w:r/>
            <w:r>
              <w:rPr>
                <w:b/>
              </w:rPr>
              <w:t>Validated vs known answer</w:t>
            </w:r>
          </w:p>
        </w:tc>
        <w:tc>
          <w:tcPr>
            <w:tcW w:type="dxa" w:w="2880"/>
          </w:tcPr>
          <w:p>
            <w:r/>
            <w:r>
              <w:rPr>
                <w:b/>
              </w:rPr>
              <w:t>Live-DWSIM status</w:t>
            </w:r>
          </w:p>
        </w:tc>
      </w:tr>
      <w:tr>
        <w:tc>
          <w:tcPr>
            <w:tcW w:type="dxa" w:w="2880"/>
          </w:tcPr>
          <w:p>
            <w:r>
              <w:t>Trust-region EO</w:t>
            </w:r>
          </w:p>
        </w:tc>
        <w:tc>
          <w:tcPr>
            <w:tcW w:type="dxa" w:w="2880"/>
          </w:tcPr>
          <w:p>
            <w:r>
              <w:t>Sphere -&gt; exact 0; constrained QP -&gt; exact KKT point</w:t>
            </w:r>
          </w:p>
        </w:tc>
        <w:tc>
          <w:tcPr>
            <w:tcW w:type="dxa" w:w="2880"/>
          </w:tcPr>
          <w:p>
            <w:r>
              <w:t>Live: drove real heater duty to the 40 C optimum in 9 evaluations</w:t>
            </w:r>
          </w:p>
        </w:tc>
      </w:tr>
      <w:tr>
        <w:tc>
          <w:tcPr>
            <w:tcW w:type="dxa" w:w="2880"/>
          </w:tcPr>
          <w:p>
            <w:r>
              <w:t>Infeasible-path SQP</w:t>
            </w:r>
          </w:p>
        </w:tc>
        <w:tc>
          <w:tcPr>
            <w:tcW w:type="dxa" w:w="2880"/>
          </w:tcPr>
          <w:p>
            <w:r>
              <w:t>Identical optimum to feasible-path; 18 vs 230 passes (12.8x fewer)</w:t>
            </w:r>
          </w:p>
        </w:tc>
        <w:tc>
          <w:tcPr>
            <w:tcW w:type="dxa" w:w="2880"/>
          </w:tcPr>
          <w:p>
            <w:r>
              <w:t>Mechanics confirmed live; coupling-correct recycle remains open</w:t>
            </w:r>
          </w:p>
        </w:tc>
      </w:tr>
      <w:tr>
        <w:tc>
          <w:tcPr>
            <w:tcW w:type="dxa" w:w="2880"/>
          </w:tcPr>
          <w:p>
            <w:r>
              <w:t>Parallel evaluator</w:t>
            </w:r>
          </w:p>
        </w:tc>
        <w:tc>
          <w:tcPr>
            <w:tcW w:type="dxa" w:w="2880"/>
          </w:tcPr>
          <w:p>
            <w:r>
              <w:t>Parallel equals serial; order preserved</w:t>
            </w:r>
          </w:p>
        </w:tc>
        <w:tc>
          <w:tcPr>
            <w:tcW w:type="dxa" w:w="2880"/>
          </w:tcPr>
          <w:p>
            <w:r>
              <w:t>Live (correctness); speed-up workload-dependent (init-bound)</w:t>
            </w:r>
          </w:p>
        </w:tc>
      </w:tr>
      <w:tr>
        <w:tc>
          <w:tcPr>
            <w:tcW w:type="dxa" w:w="2880"/>
          </w:tcPr>
          <w:p>
            <w:r>
              <w:t>TAC objective</w:t>
            </w:r>
          </w:p>
        </w:tc>
        <w:tc>
          <w:tcPr>
            <w:tcW w:type="dxa" w:w="2880"/>
          </w:tcPr>
          <w:p>
            <w:r>
              <w:t>CRF and TAC arithmetic match hand calc; exact interior optimum</w:t>
            </w:r>
          </w:p>
        </w:tc>
        <w:tc>
          <w:tcPr>
            <w:tcW w:type="dxa" w:w="2880"/>
          </w:tcPr>
          <w:p>
            <w:r>
              <w:t>Live: computed from the real solved duty</w:t>
            </w:r>
          </w:p>
        </w:tc>
      </w:tr>
      <w:tr>
        <w:tc>
          <w:tcPr>
            <w:tcW w:type="dxa" w:w="2880"/>
          </w:tcPr>
          <w:p>
            <w:r>
              <w:t>Thermodynamic Intelligence</w:t>
            </w:r>
          </w:p>
        </w:tc>
        <w:tc>
          <w:tcPr>
            <w:tcW w:type="dxa" w:w="2880"/>
          </w:tcPr>
          <w:p>
            <w:r>
              <w:t>Registry grounded to 28 real packages; selection always instantiable</w:t>
            </w:r>
          </w:p>
        </w:tc>
        <w:tc>
          <w:tcPr>
            <w:tcW w:type="dxa" w:w="2880"/>
          </w:tcPr>
          <w:p>
            <w:r>
              <w:t>Live: multi-model spread reported (robust, 0.07% for water)</w:t>
            </w:r>
          </w:p>
        </w:tc>
      </w:tr>
    </w:tbl>
    <w:p/>
    <w:p>
      <w:pPr>
        <w:pStyle w:val="Heading2"/>
      </w:pPr>
      <w:r>
        <w:t>6.4 Capstone case study: interior optimum with a closed-form answer</w:t>
      </w:r>
    </w:p>
    <w:p>
      <w:pPr>
        <w:jc w:val="both"/>
      </w:pPr>
      <w:r>
        <w:rPr>
          <w:b w:val="0"/>
          <w:i w:val="0"/>
        </w:rPr>
        <w:t>Two-stage gas compression with intercooling is built and solved on the live engine and optimized over the intermediate pressure P_int. For equal-efficiency stages with intercooling to the inlet temperature, total compressor work is convex in P_int with the textbook minimum at the geometric mean, P*=sqrt(P1 P2); for P1=1 bar and P2=10 bar this is 3.162 bar. Because the geometric-mean result is independent of stage efficiency, agreement isolates the optimizer-plus-engine coupling from any tuned parameter. Three independent methods agree (Table 3). The first run of this study also surfaced and fixed a genuine optimizer defect (a dropped unit in the decision-variable write path), illustrating the value of the self-testing methodology.</w:t>
      </w:r>
    </w:p>
    <w:p>
      <w:pPr>
        <w:jc w:val="both"/>
      </w:pPr>
      <w:r>
        <w:rPr>
          <w:b w:val="0"/>
          <w:i/>
          <w:sz w:val="18"/>
        </w:rPr>
        <w:t>Table 3. Capstone result: three independent determinations of the interior optimum agree to within real-gas tolerance.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Method</w:t>
            </w:r>
          </w:p>
        </w:tc>
        <w:tc>
          <w:tcPr>
            <w:tcW w:type="dxa" w:w="4320"/>
          </w:tcPr>
          <w:p>
            <w:r/>
            <w:r>
              <w:rPr>
                <w:b/>
              </w:rPr>
              <w:t>Optimal intermediate pressure (bar)</w:t>
            </w:r>
          </w:p>
        </w:tc>
      </w:tr>
      <w:tr>
        <w:tc>
          <w:tcPr>
            <w:tcW w:type="dxa" w:w="4320"/>
          </w:tcPr>
          <w:p>
            <w:r>
              <w:t>Analytical (geometric mean)</w:t>
            </w:r>
          </w:p>
        </w:tc>
        <w:tc>
          <w:tcPr>
            <w:tcW w:type="dxa" w:w="4320"/>
          </w:tcPr>
          <w:p>
            <w:r>
              <w:t>3.162</w:t>
            </w:r>
          </w:p>
        </w:tc>
      </w:tr>
      <w:tr>
        <w:tc>
          <w:tcPr>
            <w:tcW w:type="dxa" w:w="4320"/>
          </w:tcPr>
          <w:p>
            <w:r>
              <w:t>Independent parametric sweep (live DWSIM)</w:t>
            </w:r>
          </w:p>
        </w:tc>
        <w:tc>
          <w:tcPr>
            <w:tcW w:type="dxa" w:w="4320"/>
          </w:tcPr>
          <w:p>
            <w:r>
              <w:t>3.000</w:t>
            </w:r>
          </w:p>
        </w:tc>
      </w:tr>
      <w:tr>
        <w:tc>
          <w:tcPr>
            <w:tcW w:type="dxa" w:w="4320"/>
          </w:tcPr>
          <w:p>
            <w:r>
              <w:t>Project optimizer (live DWSIM solve loop)</w:t>
            </w:r>
          </w:p>
        </w:tc>
        <w:tc>
          <w:tcPr>
            <w:tcW w:type="dxa" w:w="4320"/>
          </w:tcPr>
          <w:p>
            <w:r>
              <w:t>3.170</w:t>
            </w:r>
          </w:p>
        </w:tc>
      </w:tr>
    </w:tbl>
    <w:p/>
    <w:p>
      <w:pPr>
        <w:pStyle w:val="Heading2"/>
      </w:pPr>
      <w:r>
        <w:t>6.5 Thermodynamic model-form uncertainty (live)</w:t>
      </w:r>
    </w:p>
    <w:p>
      <w:pPr>
        <w:jc w:val="both"/>
      </w:pPr>
      <w:r>
        <w:rPr>
          <w:b w:val="0"/>
          <w:i w:val="0"/>
        </w:rPr>
        <w:t>A water-heater flowsheet solved under Peng-Robinson, Soave-Redlich-Kwong, and Steam Tables yields a maximum relative output spread of 0.07%, reported as robust - because DWSIM applies a corrected liquid-density model across packages. The capability reports robustness truthfully rather than manufacturing sensitivity; the model-dependent path (large spread, most-sensitive output identified) is covered by unit tests, and the comparison packages are auto-selected for the chemistry.</w:t>
      </w:r>
    </w:p>
    <w:p>
      <w:pPr>
        <w:pStyle w:val="Heading2"/>
      </w:pPr>
      <w:r>
        <w:t>6.6 Live 25-task benchmark</w:t>
      </w:r>
    </w:p>
    <w:p>
      <w:pPr>
        <w:jc w:val="both"/>
      </w:pPr>
      <w:r>
        <w:rPr>
          <w:b w:val="0"/>
          <w:i w:val="0"/>
        </w:rPr>
        <w:t>Run crash-isolated (one subprocess per task) against the live engine, the benchmark is partially rate-limited because each agent request is approximately twenty-two thousand tokens. The best combined result to date is 24% strict overall and 32% over the tasks actually executed; the agent demonstrably builds and solves real flowsheets, with the water-heater and pump tasks passing cleanly against live physics. This figure is quota- and scoring-limited and is not presented as a clean capability ceiling.</w:t>
      </w:r>
    </w:p>
    <w:p>
      <w:pPr>
        <w:pStyle w:val="Heading2"/>
      </w:pPr>
      <w:r>
        <w:t>6.7 Component-attribution ablation</w:t>
      </w:r>
    </w:p>
    <w:p>
      <w:pPr>
        <w:jc w:val="both"/>
      </w:pPr>
      <w:r>
        <w:rPr>
          <w:b w:val="0"/>
          <w:i w:val="0"/>
        </w:rPr>
        <w:t>The four-condition ablation is fully wired and verified end-to-end without quota: a mock-agent round-trip test and a live smoke run exercise the complete chain - runner, real agent with the condition toggles actually disabling retrieval, the safety validator, or tools, per-task scoring, JSON-lines logging, and statistical analysis. The component-attribution deltas with exact p-values and effect sizes are therefore one command from production; only LLM throughput is missing.</w:t>
      </w:r>
    </w:p>
    <w:p>
      <w:pPr>
        <w:pStyle w:val="Heading1"/>
      </w:pPr>
      <w:r>
        <w:t>7. Discussion and Limitations</w:t>
      </w:r>
    </w:p>
    <w:p>
      <w:pPr>
        <w:jc w:val="both"/>
      </w:pPr>
      <w:r>
        <w:rPr>
          <w:b/>
        </w:rPr>
        <w:t xml:space="preserve">What is established. </w:t>
      </w:r>
      <w:r>
        <w:t>The system is designed, implemented, component-validated (558 tests), and demonstrated end-to-end on a live DWSIM engine, with optimization methodology at commercial level validated against known optima - most strongly by the compression capstone, which matches a closed-form result by three independent methods.</w:t>
      </w:r>
    </w:p>
    <w:p>
      <w:pPr>
        <w:jc w:val="both"/>
      </w:pPr>
      <w:r>
        <w:rPr>
          <w:b/>
        </w:rPr>
        <w:t xml:space="preserve">Fundamental limitations. </w:t>
      </w:r>
      <w:r>
        <w:t>Two gaps are not closable by code because the system builds upon DWSIM rather than replacing it: (a) thermodynamic fidelity, since DWSIM's models are not validated against decades of industrial data the way a commercial databank is; and (b) true native equation-oriented optimization, since DWSIM does not expose its equation system and the EO here is therefore a validated surrogate. We do not claim Aspen-level simulation. Limitation (a) is, however, measured rather than hidden: the thermodynamic-intelligence layer reports how much a result depends on the package choice.</w:t>
      </w:r>
    </w:p>
    <w:p>
      <w:pPr>
        <w:jc w:val="both"/>
      </w:pPr>
      <w:r>
        <w:rPr>
          <w:b/>
        </w:rPr>
        <w:t xml:space="preserve">Threats to validity. </w:t>
      </w:r>
      <w:r>
        <w:t>The live benchmark headline is quota- and scoring-limited; the ablation that explains why the architecture works is fully wired and verified but its statistical results await LLM throughput; the parallel speed-up is workload-dependent; and a coupling-correct live recycle for the infeasible-path demonstration remains open. LLM stochasticity is controlled in the ablation by a provider lock and temperature 0, and the LLM-as-judge is used only as a secondary signal alongside deterministic physics-based criteria.</w:t>
      </w:r>
    </w:p>
    <w:p>
      <w:pPr>
        <w:jc w:val="both"/>
      </w:pPr>
      <w:r>
        <w:rPr>
          <w:b/>
        </w:rPr>
        <w:t xml:space="preserve">Reproducibility. </w:t>
      </w:r>
      <w:r>
        <w:t>The complete system, the content-hashed benchmark, append-only transcripts, and the ablation harness with its statistics are released, and the figures and tables are regenerable from committed artifacts.</w:t>
      </w:r>
    </w:p>
    <w:p>
      <w:pPr>
        <w:pStyle w:val="Heading1"/>
      </w:pPr>
      <w:r>
        <w:t>8. Conclusion and Future Work</w:t>
      </w:r>
    </w:p>
    <w:p>
      <w:pPr>
        <w:jc w:val="both"/>
      </w:pPr>
      <w:r>
        <w:rPr>
          <w:b w:val="0"/>
          <w:i w:val="0"/>
        </w:rPr>
        <w:t>Natural-language agentic operation of an open-source process simulator is feasible, and for optimization methodology it can reach commercial level while remaining fully open and reproducible. The defensible claim is an agentic AI delivering Aspen-level optimization methodology over DWSIM, with the thermodynamic-fidelity gap measured rather than hidden. The remaining evidentiary gaps - the four-condition ablation deltas and the full 25-task benchmark headline - close with greater LLM throughput and no new code, each being a single command, which makes the result a clean basis for both this submission and a follow-on study. Future work includes a coupling-correct live recycle for the infeasible-path demonstration, a strongly non-ideal live multi-model uncertainty case study, and a head-to-head comparison against a commercial optimizer on a published benchmark.</w:t>
      </w:r>
    </w:p>
    <w:p>
      <w:pPr>
        <w:pStyle w:val="Heading1"/>
      </w:pPr>
      <w:r>
        <w:t>References</w:t>
      </w:r>
    </w:p>
    <w:p>
      <w:pPr>
        <w:jc w:val="left"/>
      </w:pPr>
      <w:r>
        <w:rPr>
          <w:b w:val="0"/>
          <w:i w:val="0"/>
          <w:sz w:val="20"/>
        </w:rPr>
        <w:t>[1] Biegler, L. T. (2010). Nonlinear Programming: Concepts, Algorithms, and Applications to Chemical Processes. SIAM, Philadelphia.</w:t>
      </w:r>
    </w:p>
    <w:p>
      <w:pPr>
        <w:jc w:val="left"/>
      </w:pPr>
      <w:r>
        <w:rPr>
          <w:b w:val="0"/>
          <w:i w:val="0"/>
          <w:sz w:val="20"/>
        </w:rPr>
        <w:t>[2] Carlson, E. C. (1996). Don't gamble with physical properties for simulations. Chemical Engineering Progress, 92(10), 35-46.</w:t>
      </w:r>
    </w:p>
    <w:p>
      <w:pPr>
        <w:jc w:val="left"/>
      </w:pPr>
      <w:r>
        <w:rPr>
          <w:b w:val="0"/>
          <w:i w:val="0"/>
          <w:sz w:val="20"/>
        </w:rPr>
        <w:t>[3] Conn, A. R., Scheinberg, K., &amp; Vicente, L. N. (2009). Introduction to Derivative-Free Optimization. MPS-SIAM Series on Optimization.</w:t>
      </w:r>
    </w:p>
    <w:p>
      <w:pPr>
        <w:jc w:val="left"/>
      </w:pPr>
      <w:r>
        <w:rPr>
          <w:b w:val="0"/>
          <w:i w:val="0"/>
          <w:sz w:val="20"/>
        </w:rPr>
        <w:t>[4] Deb, K., Pratap, A., Agarwal, S., &amp; Meyarivan, T. (2002). A fast and elitist multiobjective genetic algorithm: NSGA-II. IEEE Transactions on Evolutionary Computation, 6(2), 182-197.</w:t>
      </w:r>
    </w:p>
    <w:p>
      <w:pPr>
        <w:jc w:val="left"/>
      </w:pPr>
      <w:r>
        <w:rPr>
          <w:b w:val="0"/>
          <w:i w:val="0"/>
          <w:sz w:val="20"/>
        </w:rPr>
        <w:t>[5] Hansen, N. (2016). The CMA evolution strategy: a tutorial. arXiv:1604.00772.</w:t>
      </w:r>
    </w:p>
    <w:p>
      <w:pPr>
        <w:jc w:val="left"/>
      </w:pPr>
      <w:r>
        <w:rPr>
          <w:b w:val="0"/>
          <w:i w:val="0"/>
          <w:sz w:val="20"/>
        </w:rPr>
        <w:t>[6] Herman, J., &amp; Usher, W. (2017). SALib: an open-source Python library for sensitivity analysis. Journal of Open Source Software, 2(9), 97.</w:t>
      </w:r>
    </w:p>
    <w:p>
      <w:pPr>
        <w:jc w:val="left"/>
      </w:pPr>
      <w:r>
        <w:rPr>
          <w:b w:val="0"/>
          <w:i w:val="0"/>
          <w:sz w:val="20"/>
        </w:rPr>
        <w:t>[7] Jones, D. R., Schonlau, M., &amp; Welch, W. J. (1998). Efficient global optimization of expensive black-box functions. Journal of Global Optimization, 13(4), 455-492.</w:t>
      </w:r>
    </w:p>
    <w:p>
      <w:pPr>
        <w:jc w:val="left"/>
      </w:pPr>
      <w:r>
        <w:rPr>
          <w:b w:val="0"/>
          <w:i w:val="0"/>
          <w:sz w:val="20"/>
        </w:rPr>
        <w:t>[8] Lewis, P., Perez, E., Piktus, A., et al. (2020). Retrieval-augmented generation for knowledge-intensive NLP tasks. NeurIPS 33.</w:t>
      </w:r>
    </w:p>
    <w:p>
      <w:pPr>
        <w:jc w:val="left"/>
      </w:pPr>
      <w:r>
        <w:rPr>
          <w:b w:val="0"/>
          <w:i w:val="0"/>
          <w:sz w:val="20"/>
        </w:rPr>
        <w:t>[9] Kunz, O., &amp; Wagner, W. (2012). The GERG-2008 wide-range equation of state for natural gases and other mixtures. Journal of Chemical &amp; Engineering Data, 57(11), 3032-3091.</w:t>
      </w:r>
    </w:p>
    <w:p>
      <w:pPr>
        <w:jc w:val="left"/>
      </w:pPr>
      <w:r>
        <w:rPr>
          <w:b w:val="0"/>
          <w:i w:val="0"/>
          <w:sz w:val="20"/>
        </w:rPr>
        <w:t>[10] Gross, J., &amp; Sadowski, G. (2001). Perturbed-chain SAFT: an equation of state based on a perturbation theory for chain molecules. Industrial &amp; Engineering Chemistry Research, 40(4), 1244-1260.</w:t>
      </w:r>
    </w:p>
    <w:p>
      <w:pPr>
        <w:jc w:val="left"/>
      </w:pPr>
      <w:r>
        <w:rPr>
          <w:b w:val="0"/>
          <w:i w:val="0"/>
          <w:sz w:val="20"/>
        </w:rPr>
        <w:t>[11] Saltelli, A., Ratto, M., Andres, T., et al. (2008). Global Sensitivity Analysis: The Primer. Wiley.</w:t>
      </w:r>
    </w:p>
    <w:p>
      <w:pPr>
        <w:jc w:val="left"/>
      </w:pPr>
      <w:r>
        <w:rPr>
          <w:b w:val="0"/>
          <w:i w:val="0"/>
          <w:sz w:val="20"/>
        </w:rPr>
        <w:t>[12] Turton, R., Shaeiwitz, J. A., Bhattacharyya, D., &amp; Whiting, W. B. (2018). Analysis, Synthesis, and Design of Chemical Processes (5th ed.). Pearson.</w:t>
      </w:r>
    </w:p>
    <w:p>
      <w:pPr>
        <w:jc w:val="left"/>
      </w:pPr>
      <w:r>
        <w:rPr>
          <w:b w:val="0"/>
          <w:i w:val="0"/>
          <w:sz w:val="20"/>
        </w:rPr>
        <w:t>[13] Yao, S., Zhao, J., Yu, D., et al. (2023). ReAct: synergizing reasoning and acting in language models. International Conference on Learning Representations (ICLR).</w:t>
      </w:r>
    </w:p>
    <w:p>
      <w:pPr>
        <w:jc w:val="left"/>
      </w:pPr>
      <w:r>
        <w:rPr>
          <w:b w:val="0"/>
          <w:i w:val="0"/>
          <w:sz w:val="20"/>
        </w:rPr>
        <w:t>[14] Holm, S. (1979). A simple sequentially rejective multiple test procedure. Scandinavian Journal of Statistics, 6(2), 65-70.</w:t>
      </w:r>
    </w:p>
    <w:p>
      <w:pPr>
        <w:jc w:val="left"/>
      </w:pPr>
      <w:r>
        <w:rPr>
          <w:b w:val="0"/>
          <w:i w:val="0"/>
          <w:sz w:val="20"/>
        </w:rPr>
        <w:t>[15] Medeiros, D. W. G. DWSIM - open-source chemical process simulator. https://dwsim.org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