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Specification (FRS)</w:t>
      </w:r>
    </w:p>
    <w:p>
      <w:r>
        <w:t>Project: Marketing Dashboard</w:t>
        <w:br/>
      </w:r>
    </w:p>
    <w:p>
      <w:pPr>
        <w:pStyle w:val="Heading2"/>
      </w:pPr>
      <w:r>
        <w:t>1. Lead Submission Form</w:t>
      </w:r>
    </w:p>
    <w:p>
      <w:r>
        <w:t>The system shall provide a form with the following fields:</w:t>
        <w:br/>
        <w:t>• Serial Number (Auto-generated)</w:t>
        <w:br/>
        <w:t>• Tender Name</w:t>
        <w:br/>
        <w:t>• Customer</w:t>
        <w:br/>
        <w:t>• Tender Date</w:t>
        <w:br/>
        <w:t>• Bid Owner</w:t>
        <w:br/>
        <w:t>• RFP Received Date</w:t>
        <w:br/>
        <w:t>• RFP Due Date</w:t>
        <w:br/>
        <w:t>• EMD Value (in Crore)</w:t>
        <w:br/>
        <w:t>• Dmktg (optional)</w:t>
      </w:r>
    </w:p>
    <w:p>
      <w:pPr>
        <w:pStyle w:val="Heading2"/>
      </w:pPr>
      <w:r>
        <w:t>2. Form Behavior</w:t>
      </w:r>
    </w:p>
    <w:p>
      <w:r>
        <w:t>• All mandatory fields must be validated before submission.</w:t>
        <w:br/>
        <w:t>• Inline validation messages shall be displayed.</w:t>
        <w:br/>
        <w:t>• The submit button shall remain disabled until validation succeeds.</w:t>
      </w:r>
    </w:p>
    <w:p>
      <w:pPr>
        <w:pStyle w:val="Heading2"/>
      </w:pPr>
      <w:r>
        <w:t>3. Error Handling</w:t>
      </w:r>
    </w:p>
    <w:p>
      <w:r>
        <w:t>• API failure shall result in a user-friendly error message.</w:t>
        <w:br/>
        <w:t>• Validation failures shall be highlighted at field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