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2B1F4" w14:textId="77777777" w:rsidR="00126C45" w:rsidRPr="00834C9E" w:rsidRDefault="00126C45" w:rsidP="00126C45">
      <w:pPr>
        <w:jc w:val="center"/>
        <w:rPr>
          <w:rFonts w:cstheme="minorHAnsi"/>
          <w:b/>
          <w:bCs/>
          <w:sz w:val="52"/>
          <w:szCs w:val="52"/>
        </w:rPr>
      </w:pPr>
    </w:p>
    <w:p w14:paraId="620E4B55" w14:textId="77777777" w:rsidR="00126C45" w:rsidRPr="00834C9E" w:rsidRDefault="00126C45" w:rsidP="00126C45">
      <w:pPr>
        <w:jc w:val="center"/>
        <w:rPr>
          <w:rFonts w:cstheme="minorHAnsi"/>
          <w:b/>
          <w:bCs/>
          <w:sz w:val="52"/>
          <w:szCs w:val="52"/>
        </w:rPr>
      </w:pPr>
    </w:p>
    <w:p w14:paraId="44298DA6" w14:textId="77777777" w:rsidR="00126C45" w:rsidRPr="00834C9E" w:rsidRDefault="00126C45" w:rsidP="00126C45">
      <w:pPr>
        <w:jc w:val="center"/>
        <w:rPr>
          <w:rFonts w:cstheme="minorHAnsi"/>
          <w:b/>
          <w:bCs/>
          <w:sz w:val="52"/>
          <w:szCs w:val="52"/>
        </w:rPr>
      </w:pPr>
    </w:p>
    <w:p w14:paraId="73B47FC9" w14:textId="77777777" w:rsidR="00126C45" w:rsidRPr="00834C9E" w:rsidRDefault="00126C45" w:rsidP="00126C45">
      <w:pPr>
        <w:jc w:val="center"/>
        <w:rPr>
          <w:rFonts w:cstheme="minorHAnsi"/>
          <w:b/>
          <w:bCs/>
          <w:sz w:val="52"/>
          <w:szCs w:val="52"/>
        </w:rPr>
      </w:pPr>
    </w:p>
    <w:p w14:paraId="3BB1D802" w14:textId="77777777" w:rsidR="00126C45" w:rsidRPr="00834C9E" w:rsidRDefault="00126C45" w:rsidP="00126C45">
      <w:pPr>
        <w:jc w:val="center"/>
        <w:rPr>
          <w:rFonts w:cstheme="minorHAnsi"/>
          <w:b/>
          <w:bCs/>
          <w:sz w:val="52"/>
          <w:szCs w:val="52"/>
        </w:rPr>
      </w:pPr>
    </w:p>
    <w:p w14:paraId="328E960B" w14:textId="77777777" w:rsidR="00126C45" w:rsidRPr="00834C9E" w:rsidRDefault="00126C45" w:rsidP="00126C45">
      <w:pPr>
        <w:jc w:val="center"/>
        <w:rPr>
          <w:rFonts w:cstheme="minorHAnsi"/>
          <w:b/>
          <w:bCs/>
          <w:sz w:val="52"/>
          <w:szCs w:val="52"/>
        </w:rPr>
      </w:pPr>
    </w:p>
    <w:p w14:paraId="74E62477" w14:textId="77777777" w:rsidR="00126C45" w:rsidRPr="00834C9E" w:rsidRDefault="00126C45" w:rsidP="00126C45">
      <w:pPr>
        <w:jc w:val="center"/>
        <w:rPr>
          <w:rFonts w:cstheme="minorHAnsi"/>
          <w:b/>
          <w:bCs/>
          <w:sz w:val="52"/>
          <w:szCs w:val="52"/>
        </w:rPr>
      </w:pPr>
    </w:p>
    <w:p w14:paraId="16071B25" w14:textId="77777777" w:rsidR="00126C45" w:rsidRPr="00834C9E" w:rsidRDefault="00126C45" w:rsidP="00126C45">
      <w:pPr>
        <w:jc w:val="center"/>
        <w:rPr>
          <w:rFonts w:cstheme="minorHAnsi"/>
          <w:b/>
          <w:bCs/>
          <w:sz w:val="44"/>
          <w:szCs w:val="44"/>
        </w:rPr>
      </w:pPr>
    </w:p>
    <w:p w14:paraId="3A897136" w14:textId="4A467498" w:rsidR="00126C45" w:rsidRPr="00834C9E" w:rsidRDefault="00126C45" w:rsidP="00126C45">
      <w:pPr>
        <w:jc w:val="center"/>
        <w:rPr>
          <w:rFonts w:cstheme="minorHAnsi"/>
          <w:b/>
          <w:bCs/>
          <w:sz w:val="44"/>
          <w:szCs w:val="44"/>
        </w:rPr>
      </w:pPr>
      <w:r w:rsidRPr="00834C9E">
        <w:rPr>
          <w:rFonts w:cstheme="minorHAnsi"/>
          <w:b/>
          <w:bCs/>
          <w:sz w:val="44"/>
          <w:szCs w:val="44"/>
        </w:rPr>
        <w:t>Partner &amp; Year wise Analysis of Financial Data</w:t>
      </w:r>
    </w:p>
    <w:p w14:paraId="45C8E79A" w14:textId="28CB4151" w:rsidR="00126C45" w:rsidRPr="00834C9E" w:rsidRDefault="00126C45" w:rsidP="00126C45">
      <w:pPr>
        <w:spacing w:after="0"/>
        <w:jc w:val="center"/>
        <w:rPr>
          <w:rFonts w:cstheme="minorHAnsi"/>
        </w:rPr>
      </w:pPr>
      <w:r w:rsidRPr="00834C9E">
        <w:rPr>
          <w:rFonts w:cstheme="minorHAnsi"/>
        </w:rPr>
        <w:t>Shivam Patel, Satnam Jaggi Kaur, Yash Singh, Trusha Sonawane</w:t>
      </w:r>
      <w:r w:rsidRPr="00834C9E">
        <w:rPr>
          <w:rFonts w:cstheme="minorHAnsi"/>
        </w:rPr>
        <w:br/>
        <w:t xml:space="preserve">ALY6070 </w:t>
      </w:r>
      <w:r w:rsidRPr="00834C9E">
        <w:rPr>
          <w:rFonts w:cstheme="minorHAnsi"/>
        </w:rPr>
        <w:br/>
        <w:t xml:space="preserve">Prof. John Wilder </w:t>
      </w:r>
      <w:r w:rsidRPr="00834C9E">
        <w:rPr>
          <w:rFonts w:cstheme="minorHAnsi"/>
        </w:rPr>
        <w:br/>
        <w:t>2024/03/</w:t>
      </w:r>
      <w:r w:rsidRPr="00834C9E">
        <w:rPr>
          <w:rFonts w:cstheme="minorHAnsi"/>
        </w:rPr>
        <w:t>25</w:t>
      </w:r>
    </w:p>
    <w:p w14:paraId="28F03D9D" w14:textId="77777777" w:rsidR="00B24A7D" w:rsidRPr="00834C9E" w:rsidRDefault="00B24A7D">
      <w:pPr>
        <w:rPr>
          <w:rFonts w:cstheme="minorHAnsi"/>
        </w:rPr>
      </w:pPr>
    </w:p>
    <w:p w14:paraId="21040BD3" w14:textId="77777777" w:rsidR="00126C45" w:rsidRPr="00834C9E" w:rsidRDefault="00126C45">
      <w:pPr>
        <w:rPr>
          <w:rFonts w:cstheme="minorHAnsi"/>
        </w:rPr>
      </w:pPr>
    </w:p>
    <w:p w14:paraId="2BE54DB0" w14:textId="77777777" w:rsidR="00126C45" w:rsidRPr="00834C9E" w:rsidRDefault="00126C45">
      <w:pPr>
        <w:rPr>
          <w:rFonts w:cstheme="minorHAnsi"/>
        </w:rPr>
      </w:pPr>
    </w:p>
    <w:p w14:paraId="7BFCCDE8" w14:textId="77777777" w:rsidR="00126C45" w:rsidRPr="00834C9E" w:rsidRDefault="00126C45">
      <w:pPr>
        <w:rPr>
          <w:rFonts w:cstheme="minorHAnsi"/>
        </w:rPr>
      </w:pPr>
    </w:p>
    <w:p w14:paraId="7FA74F8D" w14:textId="77777777" w:rsidR="00126C45" w:rsidRPr="00834C9E" w:rsidRDefault="00126C45">
      <w:pPr>
        <w:rPr>
          <w:rFonts w:cstheme="minorHAnsi"/>
        </w:rPr>
      </w:pPr>
    </w:p>
    <w:p w14:paraId="36336147" w14:textId="77777777" w:rsidR="00126C45" w:rsidRPr="00834C9E" w:rsidRDefault="00126C45">
      <w:pPr>
        <w:rPr>
          <w:rFonts w:cstheme="minorHAnsi"/>
        </w:rPr>
      </w:pPr>
    </w:p>
    <w:p w14:paraId="48586B3E" w14:textId="77777777" w:rsidR="00126C45" w:rsidRPr="00834C9E" w:rsidRDefault="00126C45">
      <w:pPr>
        <w:rPr>
          <w:rFonts w:cstheme="minorHAnsi"/>
        </w:rPr>
      </w:pPr>
    </w:p>
    <w:p w14:paraId="25E00D56" w14:textId="77777777" w:rsidR="00126C45" w:rsidRPr="00834C9E" w:rsidRDefault="00126C45">
      <w:pPr>
        <w:rPr>
          <w:rFonts w:cstheme="minorHAnsi"/>
        </w:rPr>
      </w:pPr>
    </w:p>
    <w:p w14:paraId="1D8AFCDC" w14:textId="77777777" w:rsidR="00126C45" w:rsidRPr="00834C9E" w:rsidRDefault="00126C45">
      <w:pPr>
        <w:rPr>
          <w:rFonts w:cstheme="minorHAnsi"/>
        </w:rPr>
      </w:pPr>
    </w:p>
    <w:p w14:paraId="441C0056" w14:textId="77777777" w:rsidR="00F63303" w:rsidRDefault="00F63303" w:rsidP="00F63303">
      <w:pPr>
        <w:jc w:val="center"/>
        <w:rPr>
          <w:rFonts w:cstheme="minorHAnsi"/>
          <w:b/>
          <w:bCs/>
          <w:sz w:val="32"/>
          <w:szCs w:val="32"/>
        </w:rPr>
      </w:pPr>
    </w:p>
    <w:p w14:paraId="69A1F540" w14:textId="77777777" w:rsidR="00F63303" w:rsidRDefault="00F63303" w:rsidP="00F63303">
      <w:pPr>
        <w:jc w:val="center"/>
        <w:rPr>
          <w:rFonts w:cstheme="minorHAnsi"/>
          <w:b/>
          <w:bCs/>
          <w:sz w:val="32"/>
          <w:szCs w:val="32"/>
        </w:rPr>
      </w:pPr>
    </w:p>
    <w:p w14:paraId="16469FA1" w14:textId="77777777" w:rsidR="00F63303" w:rsidRDefault="00F63303" w:rsidP="00F63303">
      <w:pPr>
        <w:jc w:val="center"/>
        <w:rPr>
          <w:rFonts w:cstheme="minorHAnsi"/>
          <w:b/>
          <w:bCs/>
          <w:sz w:val="32"/>
          <w:szCs w:val="32"/>
        </w:rPr>
      </w:pPr>
    </w:p>
    <w:p w14:paraId="326C5FE0" w14:textId="77777777" w:rsidR="00F63303" w:rsidRDefault="00F63303" w:rsidP="00F63303">
      <w:pPr>
        <w:jc w:val="center"/>
        <w:rPr>
          <w:rFonts w:cstheme="minorHAnsi"/>
          <w:b/>
          <w:bCs/>
          <w:sz w:val="32"/>
          <w:szCs w:val="32"/>
        </w:rPr>
      </w:pPr>
    </w:p>
    <w:p w14:paraId="57B7750A" w14:textId="77777777" w:rsidR="00F63303" w:rsidRDefault="00F63303" w:rsidP="00F63303">
      <w:pPr>
        <w:jc w:val="center"/>
        <w:rPr>
          <w:rFonts w:cstheme="minorHAnsi"/>
          <w:b/>
          <w:bCs/>
          <w:sz w:val="32"/>
          <w:szCs w:val="32"/>
        </w:rPr>
      </w:pPr>
    </w:p>
    <w:p w14:paraId="3066A98D" w14:textId="77777777" w:rsidR="00F63303" w:rsidRDefault="00F63303" w:rsidP="00F63303">
      <w:pPr>
        <w:jc w:val="center"/>
        <w:rPr>
          <w:rFonts w:cstheme="minorHAnsi"/>
          <w:b/>
          <w:bCs/>
          <w:sz w:val="32"/>
          <w:szCs w:val="32"/>
        </w:rPr>
      </w:pPr>
    </w:p>
    <w:p w14:paraId="26D0B0A8" w14:textId="3411F812" w:rsidR="00F63303" w:rsidRPr="00F63303" w:rsidRDefault="00B43ED9" w:rsidP="00F63303">
      <w:pPr>
        <w:jc w:val="center"/>
        <w:rPr>
          <w:rFonts w:cstheme="minorHAnsi"/>
          <w:b/>
          <w:bCs/>
          <w:sz w:val="32"/>
          <w:szCs w:val="32"/>
        </w:rPr>
      </w:pPr>
      <w:r w:rsidRPr="00B43ED9">
        <w:rPr>
          <w:rFonts w:cstheme="minorHAnsi"/>
          <w:b/>
          <w:bCs/>
          <w:sz w:val="32"/>
          <w:szCs w:val="32"/>
        </w:rPr>
        <w:t>Abstract</w:t>
      </w:r>
    </w:p>
    <w:p w14:paraId="6EE21F9A" w14:textId="77777777" w:rsidR="00430644" w:rsidRPr="00430644" w:rsidRDefault="00430644" w:rsidP="00430644">
      <w:pPr>
        <w:rPr>
          <w:rFonts w:cstheme="minorHAnsi"/>
        </w:rPr>
      </w:pPr>
      <w:r w:rsidRPr="00430644">
        <w:rPr>
          <w:rFonts w:cstheme="minorHAnsi"/>
        </w:rPr>
        <w:t>This report provides an in-depth analysis of financial and operational data using advanced data visualization techniques to support strategic decision-making. The study examines expenditure patterns across key sectors, including Education, Food, Health, Community, and Livelihood, over a three-year period (2022-2024). By utilizing dashboards and a variety of visual tools such as bar charts, pie charts, and line graphs, the report highlights trends in funding distribution and cost allocation among different partners. The findings indicate significant shifts in investment priorities, with Education receiving the highest allocation, Food expenditures experiencing fluctuations, and Livelihood funding showing a decline. Additionally, the report evaluates financial performance by comparing actual expenditures with budgeted and forecasted amounts, emphasizing the importance of efficient budget management and resource optimization. By applying best practices in data storytelling and visualization, this report equips stakeholders with actionable insights that enhance financial planning, improve resource distribution, and ensure long-term financial sustainability.</w:t>
      </w:r>
    </w:p>
    <w:p w14:paraId="72C0F9B0" w14:textId="77777777" w:rsidR="00F63303" w:rsidRDefault="00F63303">
      <w:pPr>
        <w:rPr>
          <w:rFonts w:cstheme="minorHAnsi"/>
        </w:rPr>
      </w:pPr>
      <w:r>
        <w:rPr>
          <w:rFonts w:cstheme="minorHAnsi"/>
        </w:rPr>
        <w:br w:type="page"/>
      </w:r>
    </w:p>
    <w:p w14:paraId="1DE6A8B3" w14:textId="77777777" w:rsidR="00B43ED9" w:rsidRPr="00834C9E" w:rsidRDefault="00B43ED9" w:rsidP="00B43ED9">
      <w:pPr>
        <w:rPr>
          <w:rFonts w:cstheme="minorHAnsi"/>
        </w:rPr>
      </w:pPr>
    </w:p>
    <w:p w14:paraId="58184A40" w14:textId="76B2D554" w:rsidR="00B43ED9" w:rsidRPr="00B43ED9" w:rsidRDefault="00834C9E" w:rsidP="00834C9E">
      <w:pPr>
        <w:jc w:val="center"/>
        <w:rPr>
          <w:rFonts w:cstheme="minorHAnsi"/>
          <w:b/>
          <w:bCs/>
          <w:sz w:val="48"/>
          <w:szCs w:val="48"/>
        </w:rPr>
      </w:pPr>
      <w:r w:rsidRPr="00834C9E">
        <w:rPr>
          <w:rFonts w:cstheme="minorHAnsi"/>
          <w:b/>
          <w:bCs/>
          <w:sz w:val="48"/>
          <w:szCs w:val="48"/>
        </w:rPr>
        <w:t>Part I</w:t>
      </w:r>
    </w:p>
    <w:p w14:paraId="45AEFFCF" w14:textId="77777777" w:rsidR="00834C9E" w:rsidRPr="00F63303" w:rsidRDefault="00834C9E" w:rsidP="00834C9E">
      <w:pPr>
        <w:pStyle w:val="NormalWeb"/>
        <w:spacing w:line="360" w:lineRule="auto"/>
        <w:jc w:val="center"/>
        <w:rPr>
          <w:rFonts w:asciiTheme="minorHAnsi" w:hAnsiTheme="minorHAnsi" w:cstheme="minorHAnsi"/>
          <w:sz w:val="32"/>
          <w:szCs w:val="32"/>
        </w:rPr>
      </w:pPr>
      <w:r w:rsidRPr="00F63303">
        <w:rPr>
          <w:rStyle w:val="Strong"/>
          <w:rFonts w:asciiTheme="minorHAnsi" w:eastAsiaTheme="majorEastAsia" w:hAnsiTheme="minorHAnsi" w:cstheme="minorHAnsi"/>
          <w:sz w:val="32"/>
          <w:szCs w:val="32"/>
        </w:rPr>
        <w:t>Distribution of Each Partner's Cost by Category</w:t>
      </w:r>
    </w:p>
    <w:p w14:paraId="6598919F"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Introduction</w:t>
      </w:r>
    </w:p>
    <w:p w14:paraId="29177068"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This research examines how three partners A, B and C distribute their funds between Food, Livelihoods, Education, Community and Health categories. Each project category consists of Food and Livelihoods and Education together with Health and Community. The cost distribution percentages for each category among Partners A B C are presented through stacked bar charts.</w:t>
      </w:r>
    </w:p>
    <w:p w14:paraId="034011FD"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Analysis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90"/>
      </w:tblGrid>
      <w:tr w:rsidR="00834C9E" w:rsidRPr="00834C9E" w14:paraId="07177B9E" w14:textId="77777777" w:rsidTr="00747D44">
        <w:trPr>
          <w:tblCellSpacing w:w="15" w:type="dxa"/>
        </w:trPr>
        <w:tc>
          <w:tcPr>
            <w:tcW w:w="0" w:type="auto"/>
            <w:shd w:val="clear" w:color="auto" w:fill="auto"/>
            <w:vAlign w:val="center"/>
            <w:hideMark/>
          </w:tcPr>
          <w:p w14:paraId="4BFEBFF8" w14:textId="77777777" w:rsidR="00834C9E" w:rsidRPr="00834C9E" w:rsidRDefault="00834C9E" w:rsidP="00747D44">
            <w:pPr>
              <w:pStyle w:val="NormalWeb"/>
              <w:spacing w:line="360" w:lineRule="auto"/>
              <w:jc w:val="both"/>
              <w:rPr>
                <w:rFonts w:asciiTheme="minorHAnsi" w:eastAsiaTheme="majorEastAsia" w:hAnsiTheme="minorHAnsi" w:cstheme="minorHAnsi"/>
                <w:b/>
                <w:bCs/>
                <w:lang w:val="en-CA"/>
              </w:rPr>
            </w:pPr>
            <w:r w:rsidRPr="00834C9E">
              <w:rPr>
                <w:rFonts w:asciiTheme="minorHAnsi" w:eastAsiaTheme="majorEastAsia" w:hAnsiTheme="minorHAnsi" w:cstheme="minorHAnsi"/>
                <w:b/>
                <w:bCs/>
                <w:noProof/>
                <w:u w:val="single"/>
                <w:lang w:val="en-CA"/>
              </w:rPr>
              <w:drawing>
                <wp:inline distT="0" distB="0" distL="0" distR="0" wp14:anchorId="3749129C" wp14:editId="095BB5D4">
                  <wp:extent cx="5905500" cy="3093720"/>
                  <wp:effectExtent l="0" t="0" r="0" b="0"/>
                  <wp:docPr id="1943079547" name="Picture 2" descr="Distribution of each partner's cost by catego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ion of each partner's cost by categ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093720"/>
                          </a:xfrm>
                          <a:prstGeom prst="rect">
                            <a:avLst/>
                          </a:prstGeom>
                          <a:noFill/>
                          <a:ln>
                            <a:noFill/>
                          </a:ln>
                        </pic:spPr>
                      </pic:pic>
                    </a:graphicData>
                  </a:graphic>
                </wp:inline>
              </w:drawing>
            </w:r>
          </w:p>
        </w:tc>
      </w:tr>
    </w:tbl>
    <w:p w14:paraId="2AEE23CF"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Partner A:</w:t>
      </w:r>
    </w:p>
    <w:p w14:paraId="0CE073A6" w14:textId="77777777" w:rsidR="00834C9E" w:rsidRPr="00834C9E" w:rsidRDefault="00834C9E" w:rsidP="00834C9E">
      <w:pPr>
        <w:pStyle w:val="NormalWeb"/>
        <w:numPr>
          <w:ilvl w:val="0"/>
          <w:numId w:val="11"/>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category with the biggest portion of budget goes to Livelihoods whose allocation reaches 39.99%.</w:t>
      </w:r>
    </w:p>
    <w:p w14:paraId="19C16AAB" w14:textId="77777777" w:rsidR="00834C9E" w:rsidRPr="00834C9E" w:rsidRDefault="00834C9E" w:rsidP="00834C9E">
      <w:pPr>
        <w:pStyle w:val="NormalWeb"/>
        <w:numPr>
          <w:ilvl w:val="0"/>
          <w:numId w:val="11"/>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lastRenderedPageBreak/>
        <w:t>Education stands as the second most substantial cost aspect consuming 35.67% of the total expenses.</w:t>
      </w:r>
    </w:p>
    <w:p w14:paraId="2C25E0EA" w14:textId="77777777" w:rsidR="00834C9E" w:rsidRPr="00834C9E" w:rsidRDefault="00834C9E" w:rsidP="00834C9E">
      <w:pPr>
        <w:pStyle w:val="NormalWeb"/>
        <w:numPr>
          <w:ilvl w:val="0"/>
          <w:numId w:val="11"/>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community expenses represent 32.97 percent of the total cost structure.</w:t>
      </w:r>
    </w:p>
    <w:p w14:paraId="44322CBA" w14:textId="77777777" w:rsidR="00834C9E" w:rsidRPr="00834C9E" w:rsidRDefault="00834C9E" w:rsidP="00834C9E">
      <w:pPr>
        <w:pStyle w:val="NormalWeb"/>
        <w:numPr>
          <w:ilvl w:val="0"/>
          <w:numId w:val="11"/>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Food receives 18.90% from the total funds which ranks as the lowest among all contributors.</w:t>
      </w:r>
    </w:p>
    <w:p w14:paraId="53EAAC7E" w14:textId="77777777" w:rsidR="00834C9E" w:rsidRPr="00834C9E" w:rsidRDefault="00834C9E" w:rsidP="00834C9E">
      <w:pPr>
        <w:pStyle w:val="NormalWeb"/>
        <w:numPr>
          <w:ilvl w:val="0"/>
          <w:numId w:val="11"/>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cost expenditure for health care sits beneath the amount dedicated to other categories.</w:t>
      </w:r>
    </w:p>
    <w:p w14:paraId="6CE83E34"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Partner B:</w:t>
      </w:r>
    </w:p>
    <w:p w14:paraId="24A74854" w14:textId="77777777" w:rsidR="00834C9E" w:rsidRPr="00834C9E" w:rsidRDefault="00834C9E" w:rsidP="00834C9E">
      <w:pPr>
        <w:pStyle w:val="NormalWeb"/>
        <w:numPr>
          <w:ilvl w:val="0"/>
          <w:numId w:val="12"/>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Community expenses reach 47.15% in terms of total allocation.</w:t>
      </w:r>
    </w:p>
    <w:p w14:paraId="408E86AC" w14:textId="77777777" w:rsidR="00834C9E" w:rsidRPr="00834C9E" w:rsidRDefault="00834C9E" w:rsidP="00834C9E">
      <w:pPr>
        <w:pStyle w:val="NormalWeb"/>
        <w:numPr>
          <w:ilvl w:val="0"/>
          <w:numId w:val="12"/>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Health follows closely at 44.87%.</w:t>
      </w:r>
    </w:p>
    <w:p w14:paraId="36D14B41" w14:textId="77777777" w:rsidR="00834C9E" w:rsidRPr="00834C9E" w:rsidRDefault="00834C9E" w:rsidP="00834C9E">
      <w:pPr>
        <w:pStyle w:val="NormalWeb"/>
        <w:numPr>
          <w:ilvl w:val="0"/>
          <w:numId w:val="12"/>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Education uses 30.98% of public spending within the institution.</w:t>
      </w:r>
    </w:p>
    <w:p w14:paraId="1640BD21" w14:textId="77777777" w:rsidR="00834C9E" w:rsidRPr="00834C9E" w:rsidRDefault="00834C9E" w:rsidP="00834C9E">
      <w:pPr>
        <w:pStyle w:val="NormalWeb"/>
        <w:numPr>
          <w:ilvl w:val="0"/>
          <w:numId w:val="12"/>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expenses attributed to livelihoods represent 30.52 percent of the budget.</w:t>
      </w:r>
    </w:p>
    <w:p w14:paraId="4CA45D86" w14:textId="77777777" w:rsidR="00834C9E" w:rsidRPr="00834C9E" w:rsidRDefault="00834C9E" w:rsidP="00834C9E">
      <w:pPr>
        <w:pStyle w:val="NormalWeb"/>
        <w:numPr>
          <w:ilvl w:val="0"/>
          <w:numId w:val="12"/>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share of food expenditure has seen a slight increase to become 30.52% of the total cost.</w:t>
      </w:r>
    </w:p>
    <w:p w14:paraId="58A4C2E8"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Partner C:</w:t>
      </w:r>
    </w:p>
    <w:p w14:paraId="43D62755" w14:textId="77777777" w:rsidR="00834C9E" w:rsidRPr="00834C9E" w:rsidRDefault="00834C9E" w:rsidP="00834C9E">
      <w:pPr>
        <w:pStyle w:val="NormalWeb"/>
        <w:numPr>
          <w:ilvl w:val="0"/>
          <w:numId w:val="10"/>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Food category receives the biggest share (65.32%) of total expenses which establishes its leading position.</w:t>
      </w:r>
    </w:p>
    <w:p w14:paraId="09AFB4AF" w14:textId="77777777" w:rsidR="00834C9E" w:rsidRPr="00834C9E" w:rsidRDefault="00834C9E" w:rsidP="00834C9E">
      <w:pPr>
        <w:pStyle w:val="NormalWeb"/>
        <w:numPr>
          <w:ilvl w:val="0"/>
          <w:numId w:val="10"/>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Livelihoods account for 29.49% of expenditures.</w:t>
      </w:r>
    </w:p>
    <w:p w14:paraId="34B35805" w14:textId="77777777" w:rsidR="00834C9E" w:rsidRPr="00834C9E" w:rsidRDefault="00834C9E" w:rsidP="00834C9E">
      <w:pPr>
        <w:pStyle w:val="NormalWeb"/>
        <w:numPr>
          <w:ilvl w:val="0"/>
          <w:numId w:val="10"/>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expenses related to education occupy 33.35% of the budget distribution.</w:t>
      </w:r>
    </w:p>
    <w:p w14:paraId="5F44855E" w14:textId="77777777" w:rsidR="00834C9E" w:rsidRPr="00834C9E" w:rsidRDefault="00834C9E" w:rsidP="00834C9E">
      <w:pPr>
        <w:pStyle w:val="NormalWeb"/>
        <w:numPr>
          <w:ilvl w:val="0"/>
          <w:numId w:val="10"/>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Community receives 19.88% of the funding.</w:t>
      </w:r>
    </w:p>
    <w:p w14:paraId="62BD40E9" w14:textId="77777777" w:rsidR="00834C9E" w:rsidRPr="00834C9E" w:rsidRDefault="00834C9E" w:rsidP="00834C9E">
      <w:pPr>
        <w:pStyle w:val="NormalWeb"/>
        <w:numPr>
          <w:ilvl w:val="0"/>
          <w:numId w:val="10"/>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expenses dedicated to health care tap 45.79% of the total budget.</w:t>
      </w:r>
    </w:p>
    <w:p w14:paraId="11701BB7"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Key Findings</w:t>
      </w:r>
    </w:p>
    <w:p w14:paraId="14E3F2A1" w14:textId="77777777" w:rsidR="00834C9E" w:rsidRPr="00834C9E" w:rsidRDefault="00834C9E" w:rsidP="00834C9E">
      <w:pPr>
        <w:pStyle w:val="NormalWeb"/>
        <w:numPr>
          <w:ilvl w:val="0"/>
          <w:numId w:val="13"/>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Food expenses take up the largest share in spending for Partner C compared to his other partners.</w:t>
      </w:r>
    </w:p>
    <w:p w14:paraId="07DFD858" w14:textId="77777777" w:rsidR="00834C9E" w:rsidRPr="00834C9E" w:rsidRDefault="00834C9E" w:rsidP="00834C9E">
      <w:pPr>
        <w:pStyle w:val="NormalWeb"/>
        <w:numPr>
          <w:ilvl w:val="0"/>
          <w:numId w:val="13"/>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cost distribution is even throughout the activities, yet Partner A dedicates its maximum financing to Livelihoods.</w:t>
      </w:r>
    </w:p>
    <w:p w14:paraId="317B50E1" w14:textId="77777777" w:rsidR="00834C9E" w:rsidRPr="00834C9E" w:rsidRDefault="00834C9E" w:rsidP="00834C9E">
      <w:pPr>
        <w:pStyle w:val="NormalWeb"/>
        <w:numPr>
          <w:ilvl w:val="0"/>
          <w:numId w:val="13"/>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lastRenderedPageBreak/>
        <w:t>The community and health expenses receive the largest allocation from partner B who also increases his spending on food services.</w:t>
      </w:r>
    </w:p>
    <w:p w14:paraId="62DAA852" w14:textId="77777777" w:rsidR="00834C9E" w:rsidRPr="00834C9E" w:rsidRDefault="00834C9E" w:rsidP="00834C9E">
      <w:pPr>
        <w:pStyle w:val="NormalWeb"/>
        <w:numPr>
          <w:ilvl w:val="0"/>
          <w:numId w:val="13"/>
        </w:numPr>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three partners dedicate significant funding to health-related expenses because health issues are essential budget concerns.</w:t>
      </w:r>
    </w:p>
    <w:p w14:paraId="797830CC"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rPr>
      </w:pPr>
      <w:r w:rsidRPr="00834C9E">
        <w:rPr>
          <w:rStyle w:val="Strong"/>
          <w:rFonts w:asciiTheme="minorHAnsi" w:eastAsiaTheme="majorEastAsia" w:hAnsiTheme="minorHAnsi" w:cstheme="minorHAnsi"/>
        </w:rPr>
        <w:t>Conclusion</w:t>
      </w:r>
    </w:p>
    <w:p w14:paraId="12F4E83D" w14:textId="77777777" w:rsidR="00834C9E" w:rsidRPr="00834C9E" w:rsidRDefault="00834C9E" w:rsidP="00834C9E">
      <w:pPr>
        <w:pStyle w:val="NormalWeb"/>
        <w:spacing w:line="360" w:lineRule="auto"/>
        <w:jc w:val="both"/>
        <w:rPr>
          <w:rStyle w:val="Strong"/>
          <w:rFonts w:asciiTheme="minorHAnsi" w:eastAsiaTheme="majorEastAsia" w:hAnsiTheme="minorHAnsi" w:cstheme="minorHAnsi"/>
          <w:b w:val="0"/>
          <w:bCs w:val="0"/>
        </w:rPr>
      </w:pPr>
      <w:r w:rsidRPr="00834C9E">
        <w:rPr>
          <w:rStyle w:val="Strong"/>
          <w:rFonts w:asciiTheme="minorHAnsi" w:eastAsiaTheme="majorEastAsia" w:hAnsiTheme="minorHAnsi" w:cstheme="minorHAnsi"/>
          <w:b w:val="0"/>
          <w:bCs w:val="0"/>
        </w:rPr>
        <w:t>The report shows a pattern of budget allocation differences because Partner C dedicates most money to Food while Partner A places essential emphasis on Livelihoods and Partner B spends the majority of funds on both Community and Health. Additional knowledge about these spending allocations assists organizations with making better investment decisions and reallocations to distribute funds properly across all areas.</w:t>
      </w:r>
    </w:p>
    <w:p w14:paraId="587E35D0" w14:textId="77777777" w:rsidR="00834C9E" w:rsidRPr="00F63303" w:rsidRDefault="00834C9E" w:rsidP="00834C9E">
      <w:pPr>
        <w:spacing w:before="100" w:beforeAutospacing="1" w:after="100" w:afterAutospacing="1" w:line="360" w:lineRule="auto"/>
        <w:jc w:val="both"/>
        <w:rPr>
          <w:rFonts w:eastAsia="Times New Roman" w:cstheme="minorHAnsi"/>
          <w:kern w:val="0"/>
          <w:sz w:val="32"/>
          <w:szCs w:val="32"/>
          <w:lang w:eastAsia="en-GB"/>
          <w14:ligatures w14:val="none"/>
        </w:rPr>
      </w:pPr>
      <w:r w:rsidRPr="00F63303">
        <w:rPr>
          <w:rFonts w:eastAsia="Times New Roman" w:cstheme="minorHAnsi"/>
          <w:b/>
          <w:bCs/>
          <w:kern w:val="0"/>
          <w:sz w:val="32"/>
          <w:szCs w:val="32"/>
          <w:lang w:eastAsia="en-GB"/>
          <w14:ligatures w14:val="none"/>
        </w:rPr>
        <w:t>Partner Financial Performance: Budget, Forecast, and Actual Spending</w:t>
      </w:r>
    </w:p>
    <w:p w14:paraId="7CE35B9A" w14:textId="77777777" w:rsidR="00834C9E" w:rsidRPr="00834C9E" w:rsidRDefault="00834C9E" w:rsidP="00834C9E">
      <w:pPr>
        <w:spacing w:before="100" w:beforeAutospacing="1" w:after="100" w:afterAutospacing="1" w:line="360" w:lineRule="auto"/>
        <w:jc w:val="both"/>
        <w:outlineLvl w:val="2"/>
        <w:rPr>
          <w:rFonts w:eastAsia="Times New Roman" w:cstheme="minorHAnsi"/>
          <w:b/>
          <w:bCs/>
          <w:kern w:val="0"/>
          <w:lang w:eastAsia="en-GB"/>
          <w14:ligatures w14:val="none"/>
        </w:rPr>
      </w:pPr>
      <w:r w:rsidRPr="00834C9E">
        <w:rPr>
          <w:rFonts w:eastAsia="Times New Roman" w:cstheme="minorHAnsi"/>
          <w:b/>
          <w:bCs/>
          <w:kern w:val="0"/>
          <w:lang w:eastAsia="en-GB"/>
          <w14:ligatures w14:val="none"/>
        </w:rPr>
        <w:t>Introduction</w:t>
      </w:r>
    </w:p>
    <w:p w14:paraId="393E2A7E" w14:textId="77777777" w:rsidR="00834C9E" w:rsidRPr="00834C9E" w:rsidRDefault="00834C9E" w:rsidP="00834C9E">
      <w:p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report evaluates partner financial performance through data analysis between current Year-to-Date (YTD) Actuals and both YTD Budget and YTD Forecasted expenditures for partners A, B, and C. The percentage distribution of total expenditure serves as the data representation.</w:t>
      </w:r>
    </w:p>
    <w:p w14:paraId="20F0EDE1"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kern w:val="0"/>
          <w:lang w:eastAsia="en-GB"/>
          <w14:ligatures w14:val="none"/>
        </w:rPr>
        <w:t>Analysis</w:t>
      </w:r>
    </w:p>
    <w:p w14:paraId="55E29CDD"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noProof/>
          <w:kern w:val="0"/>
          <w:lang w:eastAsia="en-GB"/>
          <w14:ligatures w14:val="none"/>
        </w:rPr>
        <w:drawing>
          <wp:inline distT="0" distB="0" distL="0" distR="0" wp14:anchorId="1E5B409D" wp14:editId="2DCA7C29">
            <wp:extent cx="5935070" cy="2331720"/>
            <wp:effectExtent l="0" t="0" r="8890" b="0"/>
            <wp:docPr id="403955789" name="Picture 1" descr="A graph of purpl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55789" name="Picture 1" descr="A graph of purple and white bars&#10;&#10;AI-generated content may be incorrect."/>
                    <pic:cNvPicPr/>
                  </pic:nvPicPr>
                  <pic:blipFill>
                    <a:blip r:embed="rId9"/>
                    <a:stretch>
                      <a:fillRect/>
                    </a:stretch>
                  </pic:blipFill>
                  <pic:spPr>
                    <a:xfrm>
                      <a:off x="0" y="0"/>
                      <a:ext cx="5966068" cy="2343898"/>
                    </a:xfrm>
                    <a:prstGeom prst="rect">
                      <a:avLst/>
                    </a:prstGeom>
                  </pic:spPr>
                </pic:pic>
              </a:graphicData>
            </a:graphic>
          </wp:inline>
        </w:drawing>
      </w:r>
    </w:p>
    <w:p w14:paraId="71A8B91A"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kern w:val="0"/>
          <w:lang w:eastAsia="en-GB"/>
          <w14:ligatures w14:val="none"/>
        </w:rPr>
        <w:lastRenderedPageBreak/>
        <w:t>Partner A</w:t>
      </w:r>
    </w:p>
    <w:p w14:paraId="70D20D15" w14:textId="77777777" w:rsidR="00834C9E" w:rsidRPr="00834C9E" w:rsidRDefault="00834C9E" w:rsidP="00834C9E">
      <w:pPr>
        <w:pStyle w:val="ListParagraph"/>
        <w:numPr>
          <w:ilvl w:val="0"/>
          <w:numId w:val="18"/>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Actuals: 12.94%</w:t>
      </w:r>
    </w:p>
    <w:p w14:paraId="454CDB89" w14:textId="77777777" w:rsidR="00834C9E" w:rsidRPr="00834C9E" w:rsidRDefault="00834C9E" w:rsidP="00834C9E">
      <w:pPr>
        <w:pStyle w:val="ListParagraph"/>
        <w:numPr>
          <w:ilvl w:val="0"/>
          <w:numId w:val="18"/>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Budget: 21.03%</w:t>
      </w:r>
    </w:p>
    <w:p w14:paraId="308EE8D1" w14:textId="77777777" w:rsidR="00834C9E" w:rsidRPr="00834C9E" w:rsidRDefault="00834C9E" w:rsidP="00834C9E">
      <w:pPr>
        <w:pStyle w:val="ListParagraph"/>
        <w:numPr>
          <w:ilvl w:val="0"/>
          <w:numId w:val="18"/>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Forecast: 13.77%</w:t>
      </w:r>
    </w:p>
    <w:p w14:paraId="75866FCA" w14:textId="77777777" w:rsidR="00834C9E" w:rsidRPr="00834C9E" w:rsidRDefault="00834C9E" w:rsidP="00834C9E">
      <w:pPr>
        <w:pStyle w:val="ListParagraph"/>
        <w:numPr>
          <w:ilvl w:val="0"/>
          <w:numId w:val="18"/>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Actual spending amounts to only 12.94% of the budgeted 21.03%.</w:t>
      </w:r>
    </w:p>
    <w:p w14:paraId="417B9EBB" w14:textId="77777777" w:rsidR="00834C9E" w:rsidRPr="00834C9E" w:rsidRDefault="00834C9E" w:rsidP="00834C9E">
      <w:pPr>
        <w:pStyle w:val="ListParagraph"/>
        <w:numPr>
          <w:ilvl w:val="0"/>
          <w:numId w:val="18"/>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forecasted expenditure amount (13.77%) reveals slight variation from actual spending results.</w:t>
      </w:r>
    </w:p>
    <w:p w14:paraId="3E8539A2" w14:textId="77777777" w:rsidR="00834C9E" w:rsidRPr="00834C9E" w:rsidRDefault="00834C9E" w:rsidP="00834C9E">
      <w:pPr>
        <w:pStyle w:val="ListParagraph"/>
        <w:numPr>
          <w:ilvl w:val="0"/>
          <w:numId w:val="18"/>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results indicate that Partner A uses fewer funds compared to its budgeted amount.</w:t>
      </w:r>
    </w:p>
    <w:p w14:paraId="1800E38E"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kern w:val="0"/>
          <w:lang w:eastAsia="en-GB"/>
          <w14:ligatures w14:val="none"/>
        </w:rPr>
        <w:t>Partner B</w:t>
      </w:r>
    </w:p>
    <w:p w14:paraId="7526810B" w14:textId="77777777" w:rsidR="00834C9E" w:rsidRPr="00834C9E" w:rsidRDefault="00834C9E" w:rsidP="00834C9E">
      <w:pPr>
        <w:pStyle w:val="ListParagraph"/>
        <w:numPr>
          <w:ilvl w:val="0"/>
          <w:numId w:val="17"/>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Actuals: 14.29%</w:t>
      </w:r>
    </w:p>
    <w:p w14:paraId="6131879E" w14:textId="77777777" w:rsidR="00834C9E" w:rsidRPr="00834C9E" w:rsidRDefault="00834C9E" w:rsidP="00834C9E">
      <w:pPr>
        <w:pStyle w:val="ListParagraph"/>
        <w:numPr>
          <w:ilvl w:val="0"/>
          <w:numId w:val="17"/>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Budget: 14.29%</w:t>
      </w:r>
    </w:p>
    <w:p w14:paraId="442CA5B8" w14:textId="77777777" w:rsidR="00834C9E" w:rsidRPr="00834C9E" w:rsidRDefault="00834C9E" w:rsidP="00834C9E">
      <w:pPr>
        <w:pStyle w:val="ListParagraph"/>
        <w:numPr>
          <w:ilvl w:val="0"/>
          <w:numId w:val="17"/>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Forecast: 10.05%</w:t>
      </w:r>
    </w:p>
    <w:p w14:paraId="7FDE5E34" w14:textId="77777777" w:rsidR="00834C9E" w:rsidRPr="00834C9E" w:rsidRDefault="00834C9E" w:rsidP="00834C9E">
      <w:pPr>
        <w:pStyle w:val="ListParagraph"/>
        <w:numPr>
          <w:ilvl w:val="0"/>
          <w:numId w:val="17"/>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actual costs match precisely with the established budget.</w:t>
      </w:r>
    </w:p>
    <w:p w14:paraId="10D0F358" w14:textId="77777777" w:rsidR="00834C9E" w:rsidRPr="00834C9E" w:rsidRDefault="00834C9E" w:rsidP="00834C9E">
      <w:pPr>
        <w:pStyle w:val="ListParagraph"/>
        <w:numPr>
          <w:ilvl w:val="0"/>
          <w:numId w:val="17"/>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Future projections suggest the organization will decrease spending levels from actual amounts by 10.05% throughout the budget period.</w:t>
      </w:r>
    </w:p>
    <w:p w14:paraId="3B143396" w14:textId="77777777" w:rsidR="00834C9E" w:rsidRPr="00834C9E" w:rsidRDefault="00834C9E" w:rsidP="00834C9E">
      <w:pPr>
        <w:pStyle w:val="ListParagraph"/>
        <w:numPr>
          <w:ilvl w:val="0"/>
          <w:numId w:val="17"/>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budget management at Partner B indicates success through its financial metrics.</w:t>
      </w:r>
    </w:p>
    <w:p w14:paraId="110BD950"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kern w:val="0"/>
          <w:lang w:eastAsia="en-GB"/>
          <w14:ligatures w14:val="none"/>
        </w:rPr>
        <w:t>Partner C</w:t>
      </w:r>
    </w:p>
    <w:p w14:paraId="0E9C810C" w14:textId="77777777" w:rsidR="00834C9E" w:rsidRPr="00834C9E" w:rsidRDefault="00834C9E" w:rsidP="00834C9E">
      <w:pPr>
        <w:pStyle w:val="ListParagraph"/>
        <w:numPr>
          <w:ilvl w:val="0"/>
          <w:numId w:val="14"/>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Actuals: 2.25%</w:t>
      </w:r>
    </w:p>
    <w:p w14:paraId="250F5891" w14:textId="77777777" w:rsidR="00834C9E" w:rsidRPr="00834C9E" w:rsidRDefault="00834C9E" w:rsidP="00834C9E">
      <w:pPr>
        <w:pStyle w:val="ListParagraph"/>
        <w:numPr>
          <w:ilvl w:val="0"/>
          <w:numId w:val="14"/>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Budget: 4.13%</w:t>
      </w:r>
    </w:p>
    <w:p w14:paraId="58C576C9" w14:textId="77777777" w:rsidR="00834C9E" w:rsidRPr="00834C9E" w:rsidRDefault="00834C9E" w:rsidP="00834C9E">
      <w:pPr>
        <w:pStyle w:val="ListParagraph"/>
        <w:numPr>
          <w:ilvl w:val="0"/>
          <w:numId w:val="14"/>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YTD Forecast: 7.22%</w:t>
      </w:r>
    </w:p>
    <w:p w14:paraId="2A6ADB22" w14:textId="77777777" w:rsidR="00834C9E" w:rsidRPr="00834C9E" w:rsidRDefault="00834C9E" w:rsidP="00834C9E">
      <w:pPr>
        <w:pStyle w:val="ListParagraph"/>
        <w:numPr>
          <w:ilvl w:val="0"/>
          <w:numId w:val="14"/>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Actual costs remain well below the forecasted and budgeted figures since they amount to 2.25% compared to 4.13% and 7.22% respectively.</w:t>
      </w:r>
    </w:p>
    <w:p w14:paraId="60656038" w14:textId="77777777" w:rsidR="00834C9E" w:rsidRPr="00834C9E" w:rsidRDefault="00834C9E" w:rsidP="00834C9E">
      <w:pPr>
        <w:pStyle w:val="ListParagraph"/>
        <w:numPr>
          <w:ilvl w:val="0"/>
          <w:numId w:val="14"/>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Upcoming expenditures exceed current spending in the forecast thus indicating unidentified future payments.</w:t>
      </w:r>
    </w:p>
    <w:p w14:paraId="2C293F61" w14:textId="77777777" w:rsidR="00834C9E" w:rsidRPr="00834C9E" w:rsidRDefault="00834C9E" w:rsidP="00834C9E">
      <w:pPr>
        <w:pStyle w:val="ListParagraph"/>
        <w:numPr>
          <w:ilvl w:val="0"/>
          <w:numId w:val="14"/>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present financial activities at Partner C seem to face possible scheduling challenges.</w:t>
      </w:r>
    </w:p>
    <w:p w14:paraId="45712974"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kern w:val="0"/>
          <w:lang w:eastAsia="en-GB"/>
          <w14:ligatures w14:val="none"/>
        </w:rPr>
        <w:lastRenderedPageBreak/>
        <w:t>Key Findings</w:t>
      </w:r>
    </w:p>
    <w:p w14:paraId="21503058" w14:textId="77777777" w:rsidR="00834C9E" w:rsidRPr="00834C9E" w:rsidRDefault="00834C9E" w:rsidP="00834C9E">
      <w:pPr>
        <w:pStyle w:val="ListParagraph"/>
        <w:numPr>
          <w:ilvl w:val="0"/>
          <w:numId w:val="15"/>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Partner A currently spends under its budgetary target but the projected values suggest upcoming expenses will exceed the budget.</w:t>
      </w:r>
    </w:p>
    <w:p w14:paraId="1C5B5459" w14:textId="77777777" w:rsidR="00834C9E" w:rsidRPr="00834C9E" w:rsidRDefault="00834C9E" w:rsidP="00834C9E">
      <w:pPr>
        <w:pStyle w:val="ListParagraph"/>
        <w:numPr>
          <w:ilvl w:val="0"/>
          <w:numId w:val="15"/>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current budget usage by Partner B remains efficient but upcoming expenses predict a slight decrease in spending levels.</w:t>
      </w:r>
    </w:p>
    <w:p w14:paraId="76BF8C88" w14:textId="77777777" w:rsidR="00834C9E" w:rsidRPr="00834C9E" w:rsidRDefault="00834C9E" w:rsidP="00834C9E">
      <w:pPr>
        <w:pStyle w:val="ListParagraph"/>
        <w:numPr>
          <w:ilvl w:val="0"/>
          <w:numId w:val="15"/>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Partner C shows the smallest actual spending in relation to both its budget and forecast and this suggests possible delay or insufficient utilization of funds.</w:t>
      </w:r>
    </w:p>
    <w:p w14:paraId="2D7F3212" w14:textId="77777777" w:rsidR="00834C9E" w:rsidRPr="00834C9E" w:rsidRDefault="00834C9E" w:rsidP="00834C9E">
      <w:pPr>
        <w:spacing w:before="100" w:beforeAutospacing="1" w:after="100" w:afterAutospacing="1" w:line="360" w:lineRule="auto"/>
        <w:jc w:val="both"/>
        <w:outlineLvl w:val="3"/>
        <w:rPr>
          <w:rFonts w:eastAsia="Times New Roman" w:cstheme="minorHAnsi"/>
          <w:b/>
          <w:bCs/>
          <w:kern w:val="0"/>
          <w:lang w:eastAsia="en-GB"/>
          <w14:ligatures w14:val="none"/>
        </w:rPr>
      </w:pPr>
      <w:r w:rsidRPr="00834C9E">
        <w:rPr>
          <w:rFonts w:eastAsia="Times New Roman" w:cstheme="minorHAnsi"/>
          <w:b/>
          <w:bCs/>
          <w:kern w:val="0"/>
          <w:lang w:eastAsia="en-GB"/>
          <w14:ligatures w14:val="none"/>
        </w:rPr>
        <w:t xml:space="preserve">Conclusion </w:t>
      </w:r>
    </w:p>
    <w:p w14:paraId="03B0AF57" w14:textId="77777777" w:rsidR="00834C9E" w:rsidRPr="00834C9E" w:rsidRDefault="00834C9E" w:rsidP="00834C9E">
      <w:pPr>
        <w:pStyle w:val="ListParagraph"/>
        <w:numPr>
          <w:ilvl w:val="0"/>
          <w:numId w:val="16"/>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Partner A must determine the reasons behind non-utilized budgeted funds and evaluate any necessary changes to spending.</w:t>
      </w:r>
    </w:p>
    <w:p w14:paraId="2C434511" w14:textId="77777777" w:rsidR="00834C9E" w:rsidRPr="00834C9E" w:rsidRDefault="00834C9E" w:rsidP="00834C9E">
      <w:pPr>
        <w:pStyle w:val="ListParagraph"/>
        <w:numPr>
          <w:ilvl w:val="0"/>
          <w:numId w:val="16"/>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The current budget of Partner B demonstrates a successful outcome, but the company needs to watch future spending to prevent unexpected budget decreases.</w:t>
      </w:r>
    </w:p>
    <w:p w14:paraId="2BBD7A50" w14:textId="77777777" w:rsidR="00834C9E" w:rsidRPr="00834C9E" w:rsidRDefault="00834C9E" w:rsidP="00834C9E">
      <w:pPr>
        <w:pStyle w:val="ListParagraph"/>
        <w:numPr>
          <w:ilvl w:val="0"/>
          <w:numId w:val="16"/>
        </w:numPr>
        <w:spacing w:before="100" w:beforeAutospacing="1" w:after="100" w:afterAutospacing="1" w:line="360" w:lineRule="auto"/>
        <w:jc w:val="both"/>
        <w:outlineLvl w:val="3"/>
        <w:rPr>
          <w:rFonts w:eastAsia="Times New Roman" w:cstheme="minorHAnsi"/>
          <w:kern w:val="0"/>
          <w:lang w:eastAsia="en-GB"/>
          <w14:ligatures w14:val="none"/>
        </w:rPr>
      </w:pPr>
      <w:r w:rsidRPr="00834C9E">
        <w:rPr>
          <w:rFonts w:eastAsia="Times New Roman" w:cstheme="minorHAnsi"/>
          <w:kern w:val="0"/>
          <w:lang w:eastAsia="en-GB"/>
          <w14:ligatures w14:val="none"/>
        </w:rPr>
        <w:t>Partner C needs to examine delayed spending patterns then use actual patterns to adjust upcoming financial predictions for better accuracy.</w:t>
      </w:r>
    </w:p>
    <w:p w14:paraId="1F0A2070" w14:textId="77777777" w:rsidR="00834C9E" w:rsidRPr="00834C9E" w:rsidRDefault="00834C9E" w:rsidP="00834C9E">
      <w:pPr>
        <w:spacing w:after="0" w:line="360" w:lineRule="auto"/>
        <w:jc w:val="both"/>
        <w:rPr>
          <w:rFonts w:cstheme="minorHAnsi"/>
          <w:b/>
          <w:bCs/>
        </w:rPr>
      </w:pPr>
      <w:r w:rsidRPr="00834C9E">
        <w:rPr>
          <w:rFonts w:cstheme="minorHAnsi"/>
          <w:b/>
          <w:bCs/>
        </w:rPr>
        <w:t>Direct Program Cost, Operational Cost, and Total Cost</w:t>
      </w:r>
    </w:p>
    <w:p w14:paraId="628B2634" w14:textId="77777777" w:rsidR="00834C9E" w:rsidRPr="00834C9E" w:rsidRDefault="00834C9E" w:rsidP="00834C9E">
      <w:pPr>
        <w:spacing w:after="0" w:line="360" w:lineRule="auto"/>
        <w:jc w:val="both"/>
        <w:rPr>
          <w:rFonts w:cstheme="minorHAnsi"/>
          <w:b/>
          <w:bCs/>
        </w:rPr>
      </w:pPr>
      <w:r w:rsidRPr="00834C9E">
        <w:rPr>
          <w:rFonts w:cstheme="minorHAnsi"/>
          <w:b/>
          <w:bCs/>
        </w:rPr>
        <w:t>Introduction</w:t>
      </w:r>
    </w:p>
    <w:p w14:paraId="0F45779A" w14:textId="77777777" w:rsidR="00834C9E" w:rsidRPr="00834C9E" w:rsidRDefault="00834C9E" w:rsidP="00834C9E">
      <w:pPr>
        <w:spacing w:after="0" w:line="360" w:lineRule="auto"/>
        <w:jc w:val="both"/>
        <w:rPr>
          <w:rFonts w:cstheme="minorHAnsi"/>
        </w:rPr>
      </w:pPr>
      <w:r w:rsidRPr="00834C9E">
        <w:rPr>
          <w:rFonts w:cstheme="minorHAnsi"/>
        </w:rPr>
        <w:t>The Direct Program Cost, Operational Cost, and Total Cost visualization shows the breakdown of costs for three partners (A, B, and C) across three categories: Total Cost, Total Direct Program Cost, and Total Operational Cost. The aim is to assess the cost distribution among these partners and draw conclusions based on their spending patterns.</w:t>
      </w:r>
    </w:p>
    <w:p w14:paraId="770A1932" w14:textId="77777777" w:rsidR="00834C9E" w:rsidRPr="00834C9E" w:rsidRDefault="00834C9E" w:rsidP="00834C9E">
      <w:pPr>
        <w:spacing w:after="0" w:line="360" w:lineRule="auto"/>
        <w:jc w:val="both"/>
        <w:rPr>
          <w:rFonts w:cstheme="minorHAnsi"/>
          <w:b/>
          <w:bCs/>
        </w:rPr>
      </w:pPr>
      <w:r w:rsidRPr="00834C9E">
        <w:rPr>
          <w:rFonts w:cstheme="minorHAnsi"/>
          <w:b/>
          <w:bCs/>
        </w:rPr>
        <w:t>Analysis</w:t>
      </w:r>
    </w:p>
    <w:p w14:paraId="59759397" w14:textId="77777777" w:rsidR="00834C9E" w:rsidRPr="00834C9E" w:rsidRDefault="00834C9E" w:rsidP="00834C9E">
      <w:pPr>
        <w:spacing w:after="0" w:line="360" w:lineRule="auto"/>
        <w:jc w:val="both"/>
        <w:rPr>
          <w:rFonts w:cstheme="minorHAnsi"/>
          <w:b/>
          <w:bCs/>
        </w:rPr>
      </w:pPr>
      <w:r w:rsidRPr="00834C9E">
        <w:rPr>
          <w:rFonts w:cstheme="minorHAnsi"/>
          <w:b/>
          <w:bCs/>
          <w:noProof/>
        </w:rPr>
        <w:lastRenderedPageBreak/>
        <w:drawing>
          <wp:inline distT="0" distB="0" distL="0" distR="0" wp14:anchorId="4C0A026B" wp14:editId="370B8E53">
            <wp:extent cx="5958840" cy="2430780"/>
            <wp:effectExtent l="0" t="0" r="3810" b="7620"/>
            <wp:docPr id="1497147918" name="Picture 1" descr="A graph of a c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47918" name="Picture 1" descr="A graph of a cost&#10;&#10;AI-generated content may be incorrect."/>
                    <pic:cNvPicPr/>
                  </pic:nvPicPr>
                  <pic:blipFill>
                    <a:blip r:embed="rId10"/>
                    <a:stretch>
                      <a:fillRect/>
                    </a:stretch>
                  </pic:blipFill>
                  <pic:spPr>
                    <a:xfrm>
                      <a:off x="0" y="0"/>
                      <a:ext cx="5959362" cy="2430993"/>
                    </a:xfrm>
                    <a:prstGeom prst="rect">
                      <a:avLst/>
                    </a:prstGeom>
                  </pic:spPr>
                </pic:pic>
              </a:graphicData>
            </a:graphic>
          </wp:inline>
        </w:drawing>
      </w:r>
    </w:p>
    <w:p w14:paraId="0EABEE96" w14:textId="77777777" w:rsidR="00834C9E" w:rsidRPr="00834C9E" w:rsidRDefault="00834C9E" w:rsidP="00834C9E">
      <w:pPr>
        <w:spacing w:after="0" w:line="360" w:lineRule="auto"/>
        <w:jc w:val="both"/>
        <w:rPr>
          <w:rFonts w:cstheme="minorHAnsi"/>
          <w:b/>
          <w:bCs/>
        </w:rPr>
      </w:pPr>
    </w:p>
    <w:p w14:paraId="74ECA517" w14:textId="77777777" w:rsidR="00834C9E" w:rsidRPr="00834C9E" w:rsidRDefault="00834C9E" w:rsidP="00834C9E">
      <w:pPr>
        <w:spacing w:after="0" w:line="360" w:lineRule="auto"/>
        <w:jc w:val="both"/>
        <w:rPr>
          <w:rFonts w:cstheme="minorHAnsi"/>
          <w:b/>
          <w:bCs/>
        </w:rPr>
      </w:pPr>
    </w:p>
    <w:p w14:paraId="358650D4" w14:textId="77777777" w:rsidR="00834C9E" w:rsidRPr="00834C9E" w:rsidRDefault="00834C9E" w:rsidP="00834C9E">
      <w:pPr>
        <w:spacing w:after="0" w:line="360" w:lineRule="auto"/>
        <w:jc w:val="both"/>
        <w:rPr>
          <w:rFonts w:cstheme="minorHAnsi"/>
          <w:b/>
          <w:bCs/>
        </w:rPr>
      </w:pPr>
    </w:p>
    <w:p w14:paraId="7CD79706" w14:textId="77777777" w:rsidR="00834C9E" w:rsidRPr="00834C9E" w:rsidRDefault="00834C9E" w:rsidP="00834C9E">
      <w:pPr>
        <w:spacing w:after="0" w:line="360" w:lineRule="auto"/>
        <w:jc w:val="both"/>
        <w:rPr>
          <w:rFonts w:cstheme="minorHAnsi"/>
          <w:b/>
          <w:bCs/>
        </w:rPr>
      </w:pPr>
      <w:r w:rsidRPr="00834C9E">
        <w:rPr>
          <w:rFonts w:cstheme="minorHAnsi"/>
          <w:b/>
          <w:bCs/>
        </w:rPr>
        <w:t>Partner A</w:t>
      </w:r>
    </w:p>
    <w:p w14:paraId="75C9C25A" w14:textId="77777777" w:rsidR="00834C9E" w:rsidRPr="00834C9E" w:rsidRDefault="00834C9E" w:rsidP="00834C9E">
      <w:pPr>
        <w:numPr>
          <w:ilvl w:val="0"/>
          <w:numId w:val="1"/>
        </w:numPr>
        <w:spacing w:after="0" w:line="360" w:lineRule="auto"/>
        <w:jc w:val="both"/>
        <w:rPr>
          <w:rFonts w:cstheme="minorHAnsi"/>
        </w:rPr>
      </w:pPr>
      <w:r w:rsidRPr="00834C9E">
        <w:rPr>
          <w:rFonts w:cstheme="minorHAnsi"/>
        </w:rPr>
        <w:t>Partner A has the greatest total cost, exceeding $150 million.</w:t>
      </w:r>
    </w:p>
    <w:p w14:paraId="5831FC97" w14:textId="77777777" w:rsidR="00834C9E" w:rsidRPr="00834C9E" w:rsidRDefault="00834C9E" w:rsidP="00834C9E">
      <w:pPr>
        <w:numPr>
          <w:ilvl w:val="0"/>
          <w:numId w:val="1"/>
        </w:numPr>
        <w:spacing w:after="0" w:line="360" w:lineRule="auto"/>
        <w:jc w:val="both"/>
        <w:rPr>
          <w:rFonts w:cstheme="minorHAnsi"/>
        </w:rPr>
      </w:pPr>
      <w:r w:rsidRPr="00834C9E">
        <w:rPr>
          <w:rFonts w:cstheme="minorHAnsi"/>
        </w:rPr>
        <w:t>The direct program cost is higher than the operational cost, although being much lower overall.</w:t>
      </w:r>
    </w:p>
    <w:p w14:paraId="10B41D7A" w14:textId="77777777" w:rsidR="00834C9E" w:rsidRPr="00834C9E" w:rsidRDefault="00834C9E" w:rsidP="00834C9E">
      <w:pPr>
        <w:numPr>
          <w:ilvl w:val="0"/>
          <w:numId w:val="1"/>
        </w:numPr>
        <w:spacing w:after="0" w:line="360" w:lineRule="auto"/>
        <w:jc w:val="both"/>
        <w:rPr>
          <w:rFonts w:cstheme="minorHAnsi"/>
          <w:b/>
          <w:bCs/>
        </w:rPr>
      </w:pPr>
      <w:r w:rsidRPr="00834C9E">
        <w:rPr>
          <w:rFonts w:cstheme="minorHAnsi"/>
        </w:rPr>
        <w:t xml:space="preserve">Partner A's expenditure is primarily focused on program execution, not operating costs. </w:t>
      </w:r>
    </w:p>
    <w:p w14:paraId="68DB8505" w14:textId="77777777" w:rsidR="00834C9E" w:rsidRPr="00834C9E" w:rsidRDefault="00834C9E" w:rsidP="00834C9E">
      <w:pPr>
        <w:spacing w:after="0" w:line="360" w:lineRule="auto"/>
        <w:jc w:val="both"/>
        <w:rPr>
          <w:rFonts w:cstheme="minorHAnsi"/>
          <w:b/>
          <w:bCs/>
        </w:rPr>
      </w:pPr>
      <w:r w:rsidRPr="00834C9E">
        <w:rPr>
          <w:rFonts w:cstheme="minorHAnsi"/>
          <w:b/>
          <w:bCs/>
        </w:rPr>
        <w:t>Partner B</w:t>
      </w:r>
    </w:p>
    <w:p w14:paraId="488AF765" w14:textId="77777777" w:rsidR="00834C9E" w:rsidRPr="00834C9E" w:rsidRDefault="00834C9E" w:rsidP="00834C9E">
      <w:pPr>
        <w:numPr>
          <w:ilvl w:val="0"/>
          <w:numId w:val="2"/>
        </w:numPr>
        <w:spacing w:after="0" w:line="360" w:lineRule="auto"/>
        <w:jc w:val="both"/>
        <w:rPr>
          <w:rFonts w:cstheme="minorHAnsi"/>
        </w:rPr>
      </w:pPr>
      <w:r w:rsidRPr="00834C9E">
        <w:rPr>
          <w:rFonts w:cstheme="minorHAnsi"/>
        </w:rPr>
        <w:t>Partner B has the second-highest total cost, slightly below Partner A.</w:t>
      </w:r>
    </w:p>
    <w:p w14:paraId="1641AAB8" w14:textId="77777777" w:rsidR="00834C9E" w:rsidRPr="00834C9E" w:rsidRDefault="00834C9E" w:rsidP="00834C9E">
      <w:pPr>
        <w:numPr>
          <w:ilvl w:val="0"/>
          <w:numId w:val="2"/>
        </w:numPr>
        <w:spacing w:after="0" w:line="360" w:lineRule="auto"/>
        <w:jc w:val="both"/>
        <w:rPr>
          <w:rFonts w:cstheme="minorHAnsi"/>
        </w:rPr>
      </w:pPr>
      <w:r w:rsidRPr="00834C9E">
        <w:rPr>
          <w:rFonts w:cstheme="minorHAnsi"/>
        </w:rPr>
        <w:t>Similar to Partner A, the direct program cost is higher than the operational cost, although both are very small compared to the total cost.</w:t>
      </w:r>
    </w:p>
    <w:p w14:paraId="703F2431" w14:textId="77777777" w:rsidR="00834C9E" w:rsidRPr="00834C9E" w:rsidRDefault="00834C9E" w:rsidP="00834C9E">
      <w:pPr>
        <w:pStyle w:val="ListParagraph"/>
        <w:numPr>
          <w:ilvl w:val="0"/>
          <w:numId w:val="2"/>
        </w:numPr>
        <w:spacing w:after="0" w:line="360" w:lineRule="auto"/>
        <w:jc w:val="both"/>
        <w:rPr>
          <w:rFonts w:cstheme="minorHAnsi"/>
        </w:rPr>
      </w:pPr>
      <w:r w:rsidRPr="00834C9E">
        <w:rPr>
          <w:rFonts w:cstheme="minorHAnsi"/>
        </w:rPr>
        <w:t>The cost distribution indicates efficient spending on program execution.</w:t>
      </w:r>
    </w:p>
    <w:p w14:paraId="415C535A" w14:textId="77777777" w:rsidR="00834C9E" w:rsidRPr="00834C9E" w:rsidRDefault="00834C9E" w:rsidP="00834C9E">
      <w:pPr>
        <w:spacing w:after="0" w:line="360" w:lineRule="auto"/>
        <w:jc w:val="both"/>
        <w:rPr>
          <w:rFonts w:cstheme="minorHAnsi"/>
          <w:b/>
          <w:bCs/>
        </w:rPr>
      </w:pPr>
      <w:r w:rsidRPr="00834C9E">
        <w:rPr>
          <w:rFonts w:cstheme="minorHAnsi"/>
          <w:b/>
          <w:bCs/>
        </w:rPr>
        <w:t>Partner C</w:t>
      </w:r>
    </w:p>
    <w:p w14:paraId="0DF67EBD" w14:textId="77777777" w:rsidR="00834C9E" w:rsidRPr="00834C9E" w:rsidRDefault="00834C9E" w:rsidP="00834C9E">
      <w:pPr>
        <w:numPr>
          <w:ilvl w:val="0"/>
          <w:numId w:val="3"/>
        </w:numPr>
        <w:spacing w:after="0" w:line="360" w:lineRule="auto"/>
        <w:jc w:val="both"/>
        <w:rPr>
          <w:rFonts w:cstheme="minorHAnsi"/>
        </w:rPr>
      </w:pPr>
      <w:r w:rsidRPr="00834C9E">
        <w:rPr>
          <w:rFonts w:cstheme="minorHAnsi"/>
        </w:rPr>
        <w:t>Partner C has the lowest total cost of the three, under $100 million.</w:t>
      </w:r>
    </w:p>
    <w:p w14:paraId="4468C05F" w14:textId="77777777" w:rsidR="00834C9E" w:rsidRPr="00834C9E" w:rsidRDefault="00834C9E" w:rsidP="00834C9E">
      <w:pPr>
        <w:numPr>
          <w:ilvl w:val="0"/>
          <w:numId w:val="3"/>
        </w:numPr>
        <w:spacing w:after="0" w:line="360" w:lineRule="auto"/>
        <w:jc w:val="both"/>
        <w:rPr>
          <w:rFonts w:cstheme="minorHAnsi"/>
        </w:rPr>
      </w:pPr>
      <w:r w:rsidRPr="00834C9E">
        <w:rPr>
          <w:rFonts w:cstheme="minorHAnsi"/>
        </w:rPr>
        <w:t>The direct program and operating costs remain, but are far lower than the other two </w:t>
      </w:r>
    </w:p>
    <w:p w14:paraId="01A8E0B2" w14:textId="77777777" w:rsidR="00834C9E" w:rsidRPr="00834C9E" w:rsidRDefault="00834C9E" w:rsidP="00834C9E">
      <w:pPr>
        <w:spacing w:after="0" w:line="360" w:lineRule="auto"/>
        <w:ind w:left="720"/>
        <w:jc w:val="both"/>
        <w:rPr>
          <w:rFonts w:cstheme="minorHAnsi"/>
        </w:rPr>
      </w:pPr>
      <w:r w:rsidRPr="00834C9E">
        <w:rPr>
          <w:rFonts w:cstheme="minorHAnsi"/>
        </w:rPr>
        <w:t xml:space="preserve">partners. </w:t>
      </w:r>
    </w:p>
    <w:p w14:paraId="46C0BA85" w14:textId="77777777" w:rsidR="00834C9E" w:rsidRPr="00834C9E" w:rsidRDefault="00834C9E" w:rsidP="00834C9E">
      <w:pPr>
        <w:pStyle w:val="ListParagraph"/>
        <w:numPr>
          <w:ilvl w:val="0"/>
          <w:numId w:val="9"/>
        </w:numPr>
        <w:spacing w:after="0" w:line="360" w:lineRule="auto"/>
        <w:jc w:val="both"/>
        <w:rPr>
          <w:rFonts w:cstheme="minorHAnsi"/>
        </w:rPr>
      </w:pPr>
      <w:r w:rsidRPr="00834C9E">
        <w:rPr>
          <w:rFonts w:cstheme="minorHAnsi"/>
        </w:rPr>
        <w:t>Partners A and B have larger activities and funding than this.</w:t>
      </w:r>
    </w:p>
    <w:p w14:paraId="6AC06073" w14:textId="77777777" w:rsidR="00834C9E" w:rsidRPr="00834C9E" w:rsidRDefault="00834C9E" w:rsidP="00834C9E">
      <w:pPr>
        <w:spacing w:after="0" w:line="360" w:lineRule="auto"/>
        <w:jc w:val="both"/>
        <w:rPr>
          <w:rFonts w:cstheme="minorHAnsi"/>
          <w:b/>
          <w:bCs/>
        </w:rPr>
      </w:pPr>
      <w:r w:rsidRPr="00834C9E">
        <w:rPr>
          <w:rFonts w:cstheme="minorHAnsi"/>
          <w:b/>
          <w:bCs/>
        </w:rPr>
        <w:t>Key Findings</w:t>
      </w:r>
    </w:p>
    <w:p w14:paraId="714102CD" w14:textId="77777777" w:rsidR="00834C9E" w:rsidRPr="00834C9E" w:rsidRDefault="00834C9E" w:rsidP="00834C9E">
      <w:pPr>
        <w:numPr>
          <w:ilvl w:val="0"/>
          <w:numId w:val="4"/>
        </w:numPr>
        <w:spacing w:after="0" w:line="360" w:lineRule="auto"/>
        <w:jc w:val="both"/>
        <w:rPr>
          <w:rFonts w:cstheme="minorHAnsi"/>
        </w:rPr>
      </w:pPr>
      <w:r w:rsidRPr="00834C9E">
        <w:rPr>
          <w:rFonts w:cstheme="minorHAnsi"/>
        </w:rPr>
        <w:t> Partner A has the largest overall expenditure, indicating a larger project scope or greater operational costs.</w:t>
      </w:r>
    </w:p>
    <w:p w14:paraId="6615694F" w14:textId="77777777" w:rsidR="00834C9E" w:rsidRPr="00834C9E" w:rsidRDefault="00834C9E" w:rsidP="00834C9E">
      <w:pPr>
        <w:numPr>
          <w:ilvl w:val="0"/>
          <w:numId w:val="4"/>
        </w:numPr>
        <w:spacing w:after="0" w:line="360" w:lineRule="auto"/>
        <w:jc w:val="both"/>
        <w:rPr>
          <w:rFonts w:cstheme="minorHAnsi"/>
        </w:rPr>
      </w:pPr>
      <w:r w:rsidRPr="00834C9E">
        <w:rPr>
          <w:rFonts w:cstheme="minorHAnsi"/>
        </w:rPr>
        <w:t>Partner B follows closely with a similar spending pattern, focusing on program </w:t>
      </w:r>
    </w:p>
    <w:p w14:paraId="5E75D8D5" w14:textId="77777777" w:rsidR="00834C9E" w:rsidRPr="00834C9E" w:rsidRDefault="00834C9E" w:rsidP="00834C9E">
      <w:pPr>
        <w:spacing w:after="0" w:line="360" w:lineRule="auto"/>
        <w:ind w:left="720"/>
        <w:jc w:val="both"/>
        <w:rPr>
          <w:rFonts w:cstheme="minorHAnsi"/>
        </w:rPr>
      </w:pPr>
      <w:r w:rsidRPr="00834C9E">
        <w:rPr>
          <w:rFonts w:cstheme="minorHAnsi"/>
        </w:rPr>
        <w:lastRenderedPageBreak/>
        <w:t>expenditures over operations.</w:t>
      </w:r>
    </w:p>
    <w:p w14:paraId="6A0C5B1D" w14:textId="77777777" w:rsidR="00834C9E" w:rsidRPr="00834C9E" w:rsidRDefault="00834C9E" w:rsidP="00834C9E">
      <w:pPr>
        <w:numPr>
          <w:ilvl w:val="0"/>
          <w:numId w:val="4"/>
        </w:numPr>
        <w:spacing w:after="0" w:line="360" w:lineRule="auto"/>
        <w:jc w:val="both"/>
        <w:rPr>
          <w:rFonts w:cstheme="minorHAnsi"/>
        </w:rPr>
      </w:pPr>
      <w:r w:rsidRPr="00834C9E">
        <w:rPr>
          <w:rFonts w:cstheme="minorHAnsi"/>
        </w:rPr>
        <w:t xml:space="preserve">Partner C has the lowest total cost, presumably due to their lower scale operation. </w:t>
      </w:r>
    </w:p>
    <w:p w14:paraId="77104B69" w14:textId="77777777" w:rsidR="00834C9E" w:rsidRPr="00834C9E" w:rsidRDefault="00834C9E" w:rsidP="00834C9E">
      <w:pPr>
        <w:pStyle w:val="ListParagraph"/>
        <w:numPr>
          <w:ilvl w:val="0"/>
          <w:numId w:val="4"/>
        </w:numPr>
        <w:spacing w:after="0" w:line="360" w:lineRule="auto"/>
        <w:jc w:val="both"/>
        <w:rPr>
          <w:rFonts w:cstheme="minorHAnsi"/>
        </w:rPr>
      </w:pPr>
      <w:r w:rsidRPr="00834C9E">
        <w:rPr>
          <w:rFonts w:cstheme="minorHAnsi"/>
        </w:rPr>
        <w:t>Direct program expenditures are greater than operational costs across all partners, indicating a focus on project execution over administrative expenses.</w:t>
      </w:r>
    </w:p>
    <w:p w14:paraId="472A0038" w14:textId="77777777" w:rsidR="00834C9E" w:rsidRPr="00834C9E" w:rsidRDefault="00834C9E" w:rsidP="00834C9E">
      <w:pPr>
        <w:spacing w:after="0" w:line="360" w:lineRule="auto"/>
        <w:jc w:val="both"/>
        <w:rPr>
          <w:rFonts w:cstheme="minorHAnsi"/>
          <w:b/>
          <w:bCs/>
        </w:rPr>
      </w:pPr>
      <w:r w:rsidRPr="00834C9E">
        <w:rPr>
          <w:rFonts w:cstheme="minorHAnsi"/>
          <w:b/>
          <w:bCs/>
        </w:rPr>
        <w:t>Conclusion</w:t>
      </w:r>
    </w:p>
    <w:p w14:paraId="31572E99" w14:textId="77777777" w:rsidR="00834C9E" w:rsidRPr="00834C9E" w:rsidRDefault="00834C9E" w:rsidP="00834C9E">
      <w:pPr>
        <w:spacing w:after="0" w:line="360" w:lineRule="auto"/>
        <w:jc w:val="both"/>
        <w:rPr>
          <w:rFonts w:cstheme="minorHAnsi"/>
        </w:rPr>
      </w:pPr>
      <w:r w:rsidRPr="00834C9E">
        <w:rPr>
          <w:rFonts w:cstheme="minorHAnsi"/>
        </w:rPr>
        <w:t>The data reveals that all three partners spend the majority of their budget on direct program costs rather than operating expenses. Partner A leads in overall expenditure, followed by Partner B, and Partner C operates on a smaller scale. This information can aid in budget allocation decisions and the evaluation of partner efficiency in fund utilization.</w:t>
      </w:r>
    </w:p>
    <w:p w14:paraId="78A37DA5" w14:textId="77777777" w:rsidR="00834C9E" w:rsidRPr="00834C9E" w:rsidRDefault="00834C9E" w:rsidP="00834C9E">
      <w:pPr>
        <w:spacing w:after="0" w:line="360" w:lineRule="auto"/>
        <w:jc w:val="both"/>
        <w:rPr>
          <w:rFonts w:cstheme="minorHAnsi"/>
        </w:rPr>
      </w:pPr>
    </w:p>
    <w:p w14:paraId="33180985" w14:textId="77777777" w:rsidR="00834C9E" w:rsidRPr="00834C9E" w:rsidRDefault="00834C9E" w:rsidP="00834C9E">
      <w:pPr>
        <w:spacing w:after="0" w:line="360" w:lineRule="auto"/>
        <w:jc w:val="both"/>
        <w:rPr>
          <w:rFonts w:cstheme="minorHAnsi"/>
        </w:rPr>
      </w:pPr>
    </w:p>
    <w:p w14:paraId="3C32006B" w14:textId="77777777" w:rsidR="00834C9E" w:rsidRPr="00834C9E" w:rsidRDefault="00834C9E" w:rsidP="00834C9E">
      <w:pPr>
        <w:spacing w:after="0" w:line="360" w:lineRule="auto"/>
        <w:jc w:val="both"/>
        <w:rPr>
          <w:rFonts w:cstheme="minorHAnsi"/>
        </w:rPr>
      </w:pPr>
    </w:p>
    <w:p w14:paraId="6546DF30" w14:textId="77777777" w:rsidR="00834C9E" w:rsidRPr="00834C9E" w:rsidRDefault="00834C9E" w:rsidP="00834C9E">
      <w:pPr>
        <w:spacing w:after="0" w:line="360" w:lineRule="auto"/>
        <w:jc w:val="both"/>
        <w:rPr>
          <w:rFonts w:cstheme="minorHAnsi"/>
          <w:b/>
          <w:bCs/>
        </w:rPr>
      </w:pPr>
      <w:r w:rsidRPr="00834C9E">
        <w:rPr>
          <w:rFonts w:cstheme="minorHAnsi"/>
          <w:b/>
          <w:bCs/>
        </w:rPr>
        <w:t>Quarterly Spending Trends</w:t>
      </w:r>
    </w:p>
    <w:p w14:paraId="6AED17DD" w14:textId="77777777" w:rsidR="00834C9E" w:rsidRPr="00834C9E" w:rsidRDefault="00834C9E" w:rsidP="00834C9E">
      <w:pPr>
        <w:spacing w:after="0" w:line="360" w:lineRule="auto"/>
        <w:jc w:val="both"/>
        <w:rPr>
          <w:rFonts w:cstheme="minorHAnsi"/>
          <w:b/>
          <w:bCs/>
        </w:rPr>
      </w:pPr>
      <w:r w:rsidRPr="00834C9E">
        <w:rPr>
          <w:rFonts w:cstheme="minorHAnsi"/>
          <w:b/>
          <w:bCs/>
        </w:rPr>
        <w:t>Introduction</w:t>
      </w:r>
    </w:p>
    <w:p w14:paraId="24B97AEA" w14:textId="77777777" w:rsidR="00834C9E" w:rsidRPr="00834C9E" w:rsidRDefault="00834C9E" w:rsidP="00834C9E">
      <w:pPr>
        <w:spacing w:after="0" w:line="360" w:lineRule="auto"/>
        <w:jc w:val="both"/>
        <w:rPr>
          <w:rFonts w:cstheme="minorHAnsi"/>
        </w:rPr>
      </w:pPr>
      <w:r w:rsidRPr="00834C9E">
        <w:rPr>
          <w:rFonts w:cstheme="minorHAnsi"/>
        </w:rPr>
        <w:t>The visualization depicts the quarterly spending trends of three partners (A, B, and C) over four quarters: Quarter 4 (October to December), Quarter 3 (July to September), Quarter 2 (April to June), and Quarter 1 (January to March). Each partner's spending habits are reflected in a distinct hue. This report examines their spending patterns and key observations.</w:t>
      </w:r>
    </w:p>
    <w:p w14:paraId="7AAD1FC5" w14:textId="77777777" w:rsidR="00834C9E" w:rsidRPr="00834C9E" w:rsidRDefault="00834C9E" w:rsidP="00834C9E">
      <w:pPr>
        <w:spacing w:after="0" w:line="360" w:lineRule="auto"/>
        <w:jc w:val="both"/>
        <w:rPr>
          <w:rFonts w:cstheme="minorHAnsi"/>
        </w:rPr>
      </w:pPr>
    </w:p>
    <w:p w14:paraId="5EA8D4AE" w14:textId="77777777" w:rsidR="00834C9E" w:rsidRPr="00834C9E" w:rsidRDefault="00834C9E" w:rsidP="00834C9E">
      <w:pPr>
        <w:spacing w:after="0" w:line="360" w:lineRule="auto"/>
        <w:jc w:val="both"/>
        <w:rPr>
          <w:rFonts w:cstheme="minorHAnsi"/>
          <w:b/>
          <w:bCs/>
        </w:rPr>
      </w:pPr>
      <w:r w:rsidRPr="00834C9E">
        <w:rPr>
          <w:rFonts w:cstheme="minorHAnsi"/>
          <w:b/>
          <w:bCs/>
        </w:rPr>
        <w:t>Analysis</w:t>
      </w:r>
    </w:p>
    <w:p w14:paraId="0DF40AD4" w14:textId="77777777" w:rsidR="00834C9E" w:rsidRPr="00834C9E" w:rsidRDefault="00834C9E" w:rsidP="00834C9E">
      <w:pPr>
        <w:spacing w:after="0" w:line="360" w:lineRule="auto"/>
        <w:jc w:val="both"/>
        <w:rPr>
          <w:rFonts w:cstheme="minorHAnsi"/>
        </w:rPr>
      </w:pPr>
      <w:r w:rsidRPr="00834C9E">
        <w:rPr>
          <w:rFonts w:cstheme="minorHAnsi"/>
          <w:noProof/>
        </w:rPr>
        <w:lastRenderedPageBreak/>
        <w:drawing>
          <wp:inline distT="0" distB="0" distL="0" distR="0" wp14:anchorId="515FDC9E" wp14:editId="659F8AC3">
            <wp:extent cx="5943600" cy="3550920"/>
            <wp:effectExtent l="0" t="0" r="0" b="0"/>
            <wp:docPr id="75289728" name="Picture 1" descr="A graph of a tre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728" name="Picture 1" descr="A graph of a trend&#10;&#10;AI-generated content may be incorrect."/>
                    <pic:cNvPicPr/>
                  </pic:nvPicPr>
                  <pic:blipFill>
                    <a:blip r:embed="rId11"/>
                    <a:stretch>
                      <a:fillRect/>
                    </a:stretch>
                  </pic:blipFill>
                  <pic:spPr>
                    <a:xfrm>
                      <a:off x="0" y="0"/>
                      <a:ext cx="5943600" cy="3550920"/>
                    </a:xfrm>
                    <a:prstGeom prst="rect">
                      <a:avLst/>
                    </a:prstGeom>
                  </pic:spPr>
                </pic:pic>
              </a:graphicData>
            </a:graphic>
          </wp:inline>
        </w:drawing>
      </w:r>
    </w:p>
    <w:p w14:paraId="665024E8" w14:textId="77777777" w:rsidR="00834C9E" w:rsidRPr="00834C9E" w:rsidRDefault="00834C9E" w:rsidP="00834C9E">
      <w:pPr>
        <w:spacing w:after="0" w:line="360" w:lineRule="auto"/>
        <w:jc w:val="both"/>
        <w:rPr>
          <w:rFonts w:cstheme="minorHAnsi"/>
          <w:b/>
          <w:bCs/>
        </w:rPr>
      </w:pPr>
      <w:r w:rsidRPr="00834C9E">
        <w:rPr>
          <w:rFonts w:cstheme="minorHAnsi"/>
          <w:b/>
          <w:bCs/>
        </w:rPr>
        <w:t>Partner A</w:t>
      </w:r>
    </w:p>
    <w:p w14:paraId="2BA4B378" w14:textId="77777777" w:rsidR="00834C9E" w:rsidRPr="00834C9E" w:rsidRDefault="00834C9E" w:rsidP="00834C9E">
      <w:pPr>
        <w:numPr>
          <w:ilvl w:val="0"/>
          <w:numId w:val="5"/>
        </w:numPr>
        <w:spacing w:after="0" w:line="360" w:lineRule="auto"/>
        <w:jc w:val="both"/>
        <w:rPr>
          <w:rFonts w:cstheme="minorHAnsi"/>
        </w:rPr>
      </w:pPr>
      <w:r w:rsidRPr="00834C9E">
        <w:rPr>
          <w:rFonts w:cstheme="minorHAnsi"/>
        </w:rPr>
        <w:t>Partner A spent the most in Q4, reaching a peak of almost $4 billion.</w:t>
      </w:r>
    </w:p>
    <w:p w14:paraId="6885DE9B" w14:textId="77777777" w:rsidR="00834C9E" w:rsidRPr="00834C9E" w:rsidRDefault="00834C9E" w:rsidP="00834C9E">
      <w:pPr>
        <w:numPr>
          <w:ilvl w:val="0"/>
          <w:numId w:val="5"/>
        </w:numPr>
        <w:spacing w:after="0" w:line="360" w:lineRule="auto"/>
        <w:jc w:val="both"/>
        <w:rPr>
          <w:rFonts w:cstheme="minorHAnsi"/>
        </w:rPr>
      </w:pPr>
      <w:r w:rsidRPr="00834C9E">
        <w:rPr>
          <w:rFonts w:cstheme="minorHAnsi"/>
        </w:rPr>
        <w:t>In Quarter 3, spending decreased dramatically.</w:t>
      </w:r>
    </w:p>
    <w:p w14:paraId="72B9BC3E" w14:textId="77777777" w:rsidR="00834C9E" w:rsidRPr="00834C9E" w:rsidRDefault="00834C9E" w:rsidP="00834C9E">
      <w:pPr>
        <w:numPr>
          <w:ilvl w:val="0"/>
          <w:numId w:val="5"/>
        </w:numPr>
        <w:spacing w:after="0" w:line="360" w:lineRule="auto"/>
        <w:jc w:val="both"/>
        <w:rPr>
          <w:rFonts w:cstheme="minorHAnsi"/>
        </w:rPr>
      </w:pPr>
      <w:r w:rsidRPr="00834C9E">
        <w:rPr>
          <w:rFonts w:cstheme="minorHAnsi"/>
        </w:rPr>
        <w:t>Spending remained constant from Q2 to Q1, indicating a declining trend overall.</w:t>
      </w:r>
    </w:p>
    <w:p w14:paraId="5A7791DB" w14:textId="77777777" w:rsidR="00834C9E" w:rsidRPr="00834C9E" w:rsidRDefault="00834C9E" w:rsidP="00834C9E">
      <w:pPr>
        <w:spacing w:after="0" w:line="360" w:lineRule="auto"/>
        <w:jc w:val="both"/>
        <w:rPr>
          <w:rFonts w:cstheme="minorHAnsi"/>
          <w:b/>
          <w:bCs/>
        </w:rPr>
      </w:pPr>
      <w:r w:rsidRPr="00834C9E">
        <w:rPr>
          <w:rFonts w:cstheme="minorHAnsi"/>
          <w:b/>
          <w:bCs/>
        </w:rPr>
        <w:t>Partner B</w:t>
      </w:r>
    </w:p>
    <w:p w14:paraId="382357CD" w14:textId="77777777" w:rsidR="00834C9E" w:rsidRPr="00834C9E" w:rsidRDefault="00834C9E" w:rsidP="00834C9E">
      <w:pPr>
        <w:numPr>
          <w:ilvl w:val="0"/>
          <w:numId w:val="6"/>
        </w:numPr>
        <w:spacing w:after="0" w:line="360" w:lineRule="auto"/>
        <w:jc w:val="both"/>
        <w:rPr>
          <w:rFonts w:cstheme="minorHAnsi"/>
        </w:rPr>
      </w:pPr>
      <w:r w:rsidRPr="00834C9E">
        <w:rPr>
          <w:rFonts w:cstheme="minorHAnsi"/>
        </w:rPr>
        <w:t>Partner B began with low spending in Q4.</w:t>
      </w:r>
    </w:p>
    <w:p w14:paraId="3EEC13C3" w14:textId="77777777" w:rsidR="00834C9E" w:rsidRPr="00834C9E" w:rsidRDefault="00834C9E" w:rsidP="00834C9E">
      <w:pPr>
        <w:numPr>
          <w:ilvl w:val="0"/>
          <w:numId w:val="6"/>
        </w:numPr>
        <w:spacing w:after="0" w:line="360" w:lineRule="auto"/>
        <w:jc w:val="both"/>
        <w:rPr>
          <w:rFonts w:cstheme="minorHAnsi"/>
        </w:rPr>
      </w:pPr>
      <w:r w:rsidRPr="00834C9E">
        <w:rPr>
          <w:rFonts w:cstheme="minorHAnsi"/>
        </w:rPr>
        <w:t>Their spending climbed significantly in the third quarter, reaching around $3 billion.</w:t>
      </w:r>
    </w:p>
    <w:p w14:paraId="01BEF3D7" w14:textId="77777777" w:rsidR="00834C9E" w:rsidRPr="00834C9E" w:rsidRDefault="00834C9E" w:rsidP="00834C9E">
      <w:pPr>
        <w:numPr>
          <w:ilvl w:val="0"/>
          <w:numId w:val="6"/>
        </w:numPr>
        <w:spacing w:after="0" w:line="360" w:lineRule="auto"/>
        <w:jc w:val="both"/>
        <w:rPr>
          <w:rFonts w:cstheme="minorHAnsi"/>
        </w:rPr>
      </w:pPr>
      <w:r w:rsidRPr="00834C9E">
        <w:rPr>
          <w:rFonts w:cstheme="minorHAnsi"/>
        </w:rPr>
        <w:t xml:space="preserve">Their expenditure decreased from Quarter 2 onwards, but marginally climbed in </w:t>
      </w:r>
    </w:p>
    <w:p w14:paraId="159D23F9" w14:textId="77777777" w:rsidR="00834C9E" w:rsidRPr="00834C9E" w:rsidRDefault="00834C9E" w:rsidP="00834C9E">
      <w:pPr>
        <w:spacing w:after="0" w:line="360" w:lineRule="auto"/>
        <w:ind w:left="720"/>
        <w:jc w:val="both"/>
        <w:rPr>
          <w:rFonts w:cstheme="minorHAnsi"/>
        </w:rPr>
      </w:pPr>
      <w:r w:rsidRPr="00834C9E">
        <w:rPr>
          <w:rFonts w:cstheme="minorHAnsi"/>
        </w:rPr>
        <w:t>Quarter 1.</w:t>
      </w:r>
    </w:p>
    <w:p w14:paraId="4879C905" w14:textId="77777777" w:rsidR="00834C9E" w:rsidRPr="00834C9E" w:rsidRDefault="00834C9E" w:rsidP="00834C9E">
      <w:pPr>
        <w:spacing w:after="0" w:line="360" w:lineRule="auto"/>
        <w:jc w:val="both"/>
        <w:rPr>
          <w:rFonts w:cstheme="minorHAnsi"/>
          <w:b/>
          <w:bCs/>
        </w:rPr>
      </w:pPr>
      <w:r w:rsidRPr="00834C9E">
        <w:rPr>
          <w:rFonts w:cstheme="minorHAnsi"/>
          <w:b/>
          <w:bCs/>
        </w:rPr>
        <w:t>Partner C</w:t>
      </w:r>
    </w:p>
    <w:p w14:paraId="0321B331" w14:textId="77777777" w:rsidR="00834C9E" w:rsidRPr="00834C9E" w:rsidRDefault="00834C9E" w:rsidP="00834C9E">
      <w:pPr>
        <w:numPr>
          <w:ilvl w:val="0"/>
          <w:numId w:val="7"/>
        </w:numPr>
        <w:spacing w:after="0" w:line="360" w:lineRule="auto"/>
        <w:jc w:val="both"/>
        <w:rPr>
          <w:rFonts w:cstheme="minorHAnsi"/>
        </w:rPr>
      </w:pPr>
      <w:r w:rsidRPr="00834C9E">
        <w:rPr>
          <w:rFonts w:cstheme="minorHAnsi"/>
        </w:rPr>
        <w:t>Partner C experienced moderate spending rise from Q4 to Q2.</w:t>
      </w:r>
    </w:p>
    <w:p w14:paraId="3EE40145" w14:textId="77777777" w:rsidR="00834C9E" w:rsidRPr="00834C9E" w:rsidRDefault="00834C9E" w:rsidP="00834C9E">
      <w:pPr>
        <w:numPr>
          <w:ilvl w:val="0"/>
          <w:numId w:val="7"/>
        </w:numPr>
        <w:spacing w:after="0" w:line="360" w:lineRule="auto"/>
        <w:jc w:val="both"/>
        <w:rPr>
          <w:rFonts w:cstheme="minorHAnsi"/>
        </w:rPr>
      </w:pPr>
      <w:r w:rsidRPr="00834C9E">
        <w:rPr>
          <w:rFonts w:cstheme="minorHAnsi"/>
        </w:rPr>
        <w:t>In Quarter 2, their spending surpassed Partner A's.</w:t>
      </w:r>
    </w:p>
    <w:p w14:paraId="4C117CD3" w14:textId="77777777" w:rsidR="00834C9E" w:rsidRPr="00834C9E" w:rsidRDefault="00834C9E" w:rsidP="00834C9E">
      <w:pPr>
        <w:numPr>
          <w:ilvl w:val="0"/>
          <w:numId w:val="7"/>
        </w:numPr>
        <w:spacing w:after="0" w:line="360" w:lineRule="auto"/>
        <w:jc w:val="both"/>
        <w:rPr>
          <w:rFonts w:cstheme="minorHAnsi"/>
        </w:rPr>
      </w:pPr>
      <w:r w:rsidRPr="00834C9E">
        <w:rPr>
          <w:rFonts w:cstheme="minorHAnsi"/>
        </w:rPr>
        <w:t>Q1 spending decreased somewhat but remained consistent compared to Partners A and B's dramatic changes.</w:t>
      </w:r>
    </w:p>
    <w:p w14:paraId="55EE8371" w14:textId="77777777" w:rsidR="00834C9E" w:rsidRPr="00834C9E" w:rsidRDefault="00834C9E" w:rsidP="00834C9E">
      <w:pPr>
        <w:spacing w:after="0" w:line="360" w:lineRule="auto"/>
        <w:jc w:val="both"/>
        <w:rPr>
          <w:rFonts w:cstheme="minorHAnsi"/>
        </w:rPr>
      </w:pPr>
    </w:p>
    <w:p w14:paraId="3A356942" w14:textId="77777777" w:rsidR="00834C9E" w:rsidRPr="00834C9E" w:rsidRDefault="00834C9E" w:rsidP="00834C9E">
      <w:pPr>
        <w:spacing w:after="0" w:line="360" w:lineRule="auto"/>
        <w:jc w:val="both"/>
        <w:rPr>
          <w:rFonts w:cstheme="minorHAnsi"/>
          <w:b/>
          <w:bCs/>
        </w:rPr>
      </w:pPr>
      <w:r w:rsidRPr="00834C9E">
        <w:rPr>
          <w:rFonts w:cstheme="minorHAnsi"/>
          <w:b/>
          <w:bCs/>
        </w:rPr>
        <w:t>Key Findings</w:t>
      </w:r>
    </w:p>
    <w:p w14:paraId="2E13CF56" w14:textId="77777777" w:rsidR="00834C9E" w:rsidRPr="00834C9E" w:rsidRDefault="00834C9E" w:rsidP="00834C9E">
      <w:pPr>
        <w:numPr>
          <w:ilvl w:val="0"/>
          <w:numId w:val="8"/>
        </w:numPr>
        <w:spacing w:after="0" w:line="360" w:lineRule="auto"/>
        <w:jc w:val="both"/>
        <w:rPr>
          <w:rFonts w:cstheme="minorHAnsi"/>
        </w:rPr>
      </w:pPr>
      <w:r w:rsidRPr="00834C9E">
        <w:rPr>
          <w:rFonts w:cstheme="minorHAnsi"/>
        </w:rPr>
        <w:t>Partner A had the largest spending in Q4 but decreased significantly in Q3 and remained low.</w:t>
      </w:r>
    </w:p>
    <w:p w14:paraId="4905DF39" w14:textId="77777777" w:rsidR="00834C9E" w:rsidRPr="00834C9E" w:rsidRDefault="00834C9E" w:rsidP="00834C9E">
      <w:pPr>
        <w:numPr>
          <w:ilvl w:val="0"/>
          <w:numId w:val="8"/>
        </w:numPr>
        <w:spacing w:after="0" w:line="360" w:lineRule="auto"/>
        <w:jc w:val="both"/>
        <w:rPr>
          <w:rFonts w:cstheme="minorHAnsi"/>
        </w:rPr>
      </w:pPr>
      <w:r w:rsidRPr="00834C9E">
        <w:rPr>
          <w:rFonts w:cstheme="minorHAnsi"/>
        </w:rPr>
        <w:t>Partner B experienced a peak in Q3, followed by a slow drop.</w:t>
      </w:r>
    </w:p>
    <w:p w14:paraId="01516467" w14:textId="77777777" w:rsidR="00834C9E" w:rsidRPr="00834C9E" w:rsidRDefault="00834C9E" w:rsidP="00834C9E">
      <w:pPr>
        <w:numPr>
          <w:ilvl w:val="0"/>
          <w:numId w:val="8"/>
        </w:numPr>
        <w:spacing w:after="0" w:line="360" w:lineRule="auto"/>
        <w:jc w:val="both"/>
        <w:rPr>
          <w:rFonts w:cstheme="minorHAnsi"/>
        </w:rPr>
      </w:pPr>
      <w:r w:rsidRPr="00834C9E">
        <w:rPr>
          <w:rFonts w:cstheme="minorHAnsi"/>
        </w:rPr>
        <w:lastRenderedPageBreak/>
        <w:t>Partner C's growth was consistent until Quarter 2, with a modest fall in Quarter 1.</w:t>
      </w:r>
    </w:p>
    <w:p w14:paraId="2A857CF7" w14:textId="67EBB566" w:rsidR="00834C9E" w:rsidRDefault="00834C9E" w:rsidP="00834C9E">
      <w:pPr>
        <w:pStyle w:val="ListParagraph"/>
        <w:numPr>
          <w:ilvl w:val="0"/>
          <w:numId w:val="8"/>
        </w:numPr>
        <w:spacing w:after="0" w:line="360" w:lineRule="auto"/>
        <w:jc w:val="both"/>
        <w:rPr>
          <w:rFonts w:cstheme="minorHAnsi"/>
        </w:rPr>
      </w:pPr>
      <w:r w:rsidRPr="00834C9E">
        <w:rPr>
          <w:rFonts w:cstheme="minorHAnsi"/>
        </w:rPr>
        <w:t>Partner C has a reasonably consistent spending behavio</w:t>
      </w:r>
      <w:r w:rsidR="00830953">
        <w:rPr>
          <w:rFonts w:cstheme="minorHAnsi"/>
        </w:rPr>
        <w:t>u</w:t>
      </w:r>
      <w:r w:rsidRPr="00834C9E">
        <w:rPr>
          <w:rFonts w:cstheme="minorHAnsi"/>
        </w:rPr>
        <w:t>r despite overall volatility among partners.</w:t>
      </w:r>
    </w:p>
    <w:p w14:paraId="7FC5D467" w14:textId="77777777" w:rsidR="00F63303" w:rsidRDefault="00F63303" w:rsidP="00F63303">
      <w:pPr>
        <w:pStyle w:val="ListParagraph"/>
        <w:spacing w:after="0" w:line="360" w:lineRule="auto"/>
        <w:jc w:val="both"/>
        <w:rPr>
          <w:rFonts w:cstheme="minorHAnsi"/>
        </w:rPr>
      </w:pPr>
    </w:p>
    <w:p w14:paraId="3A76B92A" w14:textId="17F9FF8C" w:rsidR="00F63303" w:rsidRPr="00F63303" w:rsidRDefault="00F63303" w:rsidP="00F63303">
      <w:pPr>
        <w:pStyle w:val="ListParagraph"/>
        <w:spacing w:after="0" w:line="360" w:lineRule="auto"/>
        <w:jc w:val="center"/>
        <w:rPr>
          <w:rFonts w:cstheme="minorHAnsi"/>
          <w:b/>
          <w:bCs/>
          <w:sz w:val="32"/>
          <w:szCs w:val="32"/>
        </w:rPr>
      </w:pPr>
      <w:r w:rsidRPr="00F63303">
        <w:rPr>
          <w:rFonts w:cstheme="minorHAnsi"/>
          <w:b/>
          <w:bCs/>
          <w:sz w:val="32"/>
          <w:szCs w:val="32"/>
        </w:rPr>
        <w:t>Conclusion</w:t>
      </w:r>
    </w:p>
    <w:p w14:paraId="5E17D663" w14:textId="77777777" w:rsidR="00834C9E" w:rsidRPr="00834C9E" w:rsidRDefault="00834C9E" w:rsidP="00834C9E">
      <w:pPr>
        <w:spacing w:after="0" w:line="360" w:lineRule="auto"/>
        <w:jc w:val="both"/>
        <w:rPr>
          <w:rFonts w:cstheme="minorHAnsi"/>
          <w:b/>
          <w:bCs/>
        </w:rPr>
      </w:pPr>
      <w:r w:rsidRPr="00834C9E">
        <w:rPr>
          <w:rFonts w:cstheme="minorHAnsi"/>
          <w:b/>
          <w:bCs/>
        </w:rPr>
        <w:t>Conclusion</w:t>
      </w:r>
    </w:p>
    <w:p w14:paraId="53888452" w14:textId="30B90137" w:rsidR="00834C9E" w:rsidRPr="00834C9E" w:rsidRDefault="00834C9E" w:rsidP="00834C9E">
      <w:pPr>
        <w:spacing w:line="360" w:lineRule="auto"/>
        <w:jc w:val="both"/>
        <w:rPr>
          <w:rFonts w:cstheme="minorHAnsi"/>
        </w:rPr>
      </w:pPr>
      <w:r w:rsidRPr="00834C9E">
        <w:rPr>
          <w:rFonts w:cstheme="minorHAnsi"/>
        </w:rPr>
        <w:t xml:space="preserve">The spending patterns reveal different financial strategies among partners. Partner A's sharp drop indicates a potential budget cut or the completion of a large project. Partner B spent aggressively in the third quarter but then cut down. Partner C demonstrated </w:t>
      </w:r>
      <w:r w:rsidR="008D30FC">
        <w:rPr>
          <w:rFonts w:cstheme="minorHAnsi"/>
        </w:rPr>
        <w:t xml:space="preserve">a </w:t>
      </w:r>
      <w:r w:rsidRPr="00834C9E">
        <w:rPr>
          <w:rFonts w:cstheme="minorHAnsi"/>
        </w:rPr>
        <w:t>steady spending trend, resulting in the most reliable financial allocation. Further investigation may be required to determine the underlying causes of these spending patterns.</w:t>
      </w:r>
    </w:p>
    <w:p w14:paraId="1723D47E" w14:textId="765EB75A" w:rsidR="00166420" w:rsidRDefault="00166420">
      <w:pPr>
        <w:rPr>
          <w:rFonts w:cstheme="minorHAnsi"/>
        </w:rPr>
      </w:pPr>
    </w:p>
    <w:p w14:paraId="2AACF1D4" w14:textId="77777777" w:rsidR="00166420" w:rsidRDefault="00166420">
      <w:pPr>
        <w:rPr>
          <w:rFonts w:cstheme="minorHAnsi"/>
        </w:rPr>
      </w:pPr>
      <w:r>
        <w:rPr>
          <w:rFonts w:cstheme="minorHAnsi"/>
        </w:rPr>
        <w:br w:type="page"/>
      </w:r>
    </w:p>
    <w:p w14:paraId="672E4D77" w14:textId="39D726C2" w:rsidR="00126C45" w:rsidRDefault="00166420" w:rsidP="00166420">
      <w:pPr>
        <w:jc w:val="center"/>
        <w:rPr>
          <w:rFonts w:cstheme="minorHAnsi"/>
          <w:b/>
          <w:bCs/>
          <w:sz w:val="48"/>
          <w:szCs w:val="48"/>
        </w:rPr>
      </w:pPr>
      <w:r w:rsidRPr="00166420">
        <w:rPr>
          <w:rFonts w:cstheme="minorHAnsi"/>
          <w:b/>
          <w:bCs/>
          <w:sz w:val="48"/>
          <w:szCs w:val="48"/>
        </w:rPr>
        <w:lastRenderedPageBreak/>
        <w:t>Part II</w:t>
      </w:r>
    </w:p>
    <w:p w14:paraId="1AC908FE" w14:textId="005A7871" w:rsidR="00862105" w:rsidRPr="00833C2A" w:rsidRDefault="00862105" w:rsidP="00862105">
      <w:r w:rsidRPr="00CB0989">
        <w:rPr>
          <w:b/>
          <w:bCs/>
          <w:sz w:val="32"/>
          <w:szCs w:val="32"/>
        </w:rPr>
        <w:t>Introduction</w:t>
      </w:r>
      <w:r w:rsidRPr="00833C2A">
        <w:br/>
      </w:r>
      <w:r w:rsidR="00E82A2B" w:rsidRPr="00E82A2B">
        <w:t>A comprehensive understanding of expenditure allocation across various categories is essential for informed financial planning and strategic decision-making. This section of the dashboard presents a detailed analysis of cost distributions in key areas such as Education, Food, Health, Community, and Livelihood over a three-year period (2022-2024)</w:t>
      </w:r>
      <w:r w:rsidR="008321D5">
        <w:t xml:space="preserve">, and is further simplified into </w:t>
      </w:r>
      <w:r w:rsidR="00146A97">
        <w:t xml:space="preserve">two </w:t>
      </w:r>
      <w:r w:rsidR="0034486B">
        <w:t>Dashboard for better and systematics understanding</w:t>
      </w:r>
      <w:r w:rsidR="00E82A2B" w:rsidRPr="00E82A2B">
        <w:t>. Utilizing a range of visualization techniques, including stacked bar charts, pie charts, and line graphs, this analysis provides stakeholders with actionable insights into spending patterns</w:t>
      </w:r>
      <w:r w:rsidR="0031386C">
        <w:t>.</w:t>
      </w:r>
      <w:r w:rsidR="008321D5">
        <w:t xml:space="preserve"> </w:t>
      </w:r>
      <w:r w:rsidR="00E82A2B" w:rsidRPr="00E82A2B">
        <w:t>By identifying trends and variations in resource allocation, organizations can enhance budgetary efficiency and align financial strategies with organizational objectives.</w:t>
      </w:r>
    </w:p>
    <w:p w14:paraId="2D6ABC03" w14:textId="77777777" w:rsidR="00862105" w:rsidRPr="00CB0989" w:rsidRDefault="00862105" w:rsidP="00862105">
      <w:pPr>
        <w:rPr>
          <w:b/>
          <w:bCs/>
          <w:sz w:val="32"/>
          <w:szCs w:val="32"/>
        </w:rPr>
      </w:pPr>
      <w:r w:rsidRPr="00CB0989">
        <w:rPr>
          <w:b/>
          <w:bCs/>
          <w:sz w:val="32"/>
          <w:szCs w:val="32"/>
        </w:rPr>
        <w:t>Dashboard Part 1: Financial Overview</w:t>
      </w:r>
    </w:p>
    <w:p w14:paraId="72BB7A5B" w14:textId="77777777" w:rsidR="00862105" w:rsidRPr="00833C2A" w:rsidRDefault="00862105" w:rsidP="00862105">
      <w:r w:rsidRPr="00833C2A">
        <w:t>The objective of this dashboard was to provide a clear financial overview of total costs, operational expenditures, and direct program costs. The goal was to enable stakeholders to identify trends in spending over the years and evaluate cost allocation among different partners.</w:t>
      </w:r>
    </w:p>
    <w:p w14:paraId="6A60927F" w14:textId="77777777" w:rsidR="00862105" w:rsidRDefault="00862105" w:rsidP="00862105">
      <w:pPr>
        <w:numPr>
          <w:ilvl w:val="0"/>
          <w:numId w:val="19"/>
        </w:numPr>
      </w:pPr>
      <w:r w:rsidRPr="00833C2A">
        <w:rPr>
          <w:b/>
          <w:bCs/>
        </w:rPr>
        <w:t>Bar Chart (Total Cost by Year):</w:t>
      </w:r>
      <w:r w:rsidRPr="00833C2A">
        <w:t xml:space="preserve"> </w:t>
      </w:r>
    </w:p>
    <w:p w14:paraId="15E11544" w14:textId="77777777" w:rsidR="00862105" w:rsidRDefault="00862105" w:rsidP="00862105">
      <w:pPr>
        <w:ind w:left="720"/>
      </w:pPr>
      <w:r w:rsidRPr="00DE302E">
        <w:rPr>
          <w:noProof/>
        </w:rPr>
        <w:drawing>
          <wp:inline distT="0" distB="0" distL="0" distR="0" wp14:anchorId="6C30E697" wp14:editId="2B0B2937">
            <wp:extent cx="2590800" cy="2518213"/>
            <wp:effectExtent l="0" t="0" r="0" b="0"/>
            <wp:docPr id="116480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03896" name=""/>
                    <pic:cNvPicPr/>
                  </pic:nvPicPr>
                  <pic:blipFill>
                    <a:blip r:embed="rId12"/>
                    <a:stretch>
                      <a:fillRect/>
                    </a:stretch>
                  </pic:blipFill>
                  <pic:spPr>
                    <a:xfrm>
                      <a:off x="0" y="0"/>
                      <a:ext cx="2598635" cy="2525828"/>
                    </a:xfrm>
                    <a:prstGeom prst="rect">
                      <a:avLst/>
                    </a:prstGeom>
                  </pic:spPr>
                </pic:pic>
              </a:graphicData>
            </a:graphic>
          </wp:inline>
        </w:drawing>
      </w:r>
    </w:p>
    <w:p w14:paraId="511EC095" w14:textId="77777777" w:rsidR="00BD3E01" w:rsidRPr="00BD3E01" w:rsidRDefault="00BD3E01" w:rsidP="00BD3E01">
      <w:pPr>
        <w:numPr>
          <w:ilvl w:val="0"/>
          <w:numId w:val="19"/>
        </w:numPr>
      </w:pPr>
      <w:r w:rsidRPr="00BD3E01">
        <w:rPr>
          <w:b/>
          <w:bCs/>
        </w:rPr>
        <w:t>2022</w:t>
      </w:r>
      <w:r w:rsidRPr="00BD3E01">
        <w:t>: The bar for this year is slightly taller compared to 2023, indicating a higher average total cost.</w:t>
      </w:r>
    </w:p>
    <w:p w14:paraId="23CF0174" w14:textId="77777777" w:rsidR="00BD3E01" w:rsidRPr="00BD3E01" w:rsidRDefault="00BD3E01" w:rsidP="00BD3E01">
      <w:pPr>
        <w:numPr>
          <w:ilvl w:val="0"/>
          <w:numId w:val="19"/>
        </w:numPr>
      </w:pPr>
      <w:r w:rsidRPr="00BD3E01">
        <w:rPr>
          <w:b/>
          <w:bCs/>
        </w:rPr>
        <w:t>2023</w:t>
      </w:r>
      <w:r w:rsidRPr="00BD3E01">
        <w:t>: A dip is observed, as the average total cost decreases slightly.</w:t>
      </w:r>
    </w:p>
    <w:p w14:paraId="57777324" w14:textId="77777777" w:rsidR="00BD3E01" w:rsidRPr="00BD3E01" w:rsidRDefault="00BD3E01" w:rsidP="00BD3E01">
      <w:pPr>
        <w:numPr>
          <w:ilvl w:val="0"/>
          <w:numId w:val="19"/>
        </w:numPr>
      </w:pPr>
      <w:r w:rsidRPr="00BD3E01">
        <w:rPr>
          <w:b/>
          <w:bCs/>
        </w:rPr>
        <w:t>2024</w:t>
      </w:r>
      <w:r w:rsidRPr="00BD3E01">
        <w:t>: The average total cost rises again, surpassing 2023 but remaining slightly lower than 2022.</w:t>
      </w:r>
    </w:p>
    <w:p w14:paraId="1C89082B" w14:textId="50B47A27" w:rsidR="00BD3E01" w:rsidRDefault="00BD3E01" w:rsidP="00BD3E01">
      <w:pPr>
        <w:numPr>
          <w:ilvl w:val="0"/>
          <w:numId w:val="19"/>
        </w:numPr>
      </w:pPr>
      <w:r w:rsidRPr="00BD3E01">
        <w:lastRenderedPageBreak/>
        <w:t xml:space="preserve">Overall, the chart reveals a fluctuation in average total costs, with a decrease in 2023 followed by a modest increase in 2024. </w:t>
      </w:r>
    </w:p>
    <w:p w14:paraId="59824CF7" w14:textId="77777777" w:rsidR="00BD3E01" w:rsidRPr="00BD3E01" w:rsidRDefault="00BD3E01" w:rsidP="00BD3E01">
      <w:pPr>
        <w:ind w:left="360"/>
      </w:pPr>
    </w:p>
    <w:p w14:paraId="5CB94FEB" w14:textId="77777777" w:rsidR="00862105" w:rsidRDefault="00862105" w:rsidP="00862105">
      <w:pPr>
        <w:numPr>
          <w:ilvl w:val="0"/>
          <w:numId w:val="19"/>
        </w:numPr>
      </w:pPr>
      <w:r w:rsidRPr="00833C2A">
        <w:rPr>
          <w:b/>
          <w:bCs/>
        </w:rPr>
        <w:t>Stacked Bar Chart (Operational Cost vs. Direct Program Cost):</w:t>
      </w:r>
      <w:r w:rsidRPr="00833C2A">
        <w:t xml:space="preserve"> </w:t>
      </w:r>
    </w:p>
    <w:p w14:paraId="4C3BC735" w14:textId="77777777" w:rsidR="00862105" w:rsidRDefault="00862105" w:rsidP="00862105">
      <w:pPr>
        <w:ind w:left="720"/>
      </w:pPr>
      <w:r w:rsidRPr="00DE302E">
        <w:rPr>
          <w:noProof/>
        </w:rPr>
        <w:drawing>
          <wp:inline distT="0" distB="0" distL="0" distR="0" wp14:anchorId="6638EE48" wp14:editId="311A2F0D">
            <wp:extent cx="2905506" cy="3307080"/>
            <wp:effectExtent l="0" t="0" r="9525" b="7620"/>
            <wp:docPr id="6518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722" name=""/>
                    <pic:cNvPicPr/>
                  </pic:nvPicPr>
                  <pic:blipFill>
                    <a:blip r:embed="rId13"/>
                    <a:stretch>
                      <a:fillRect/>
                    </a:stretch>
                  </pic:blipFill>
                  <pic:spPr>
                    <a:xfrm>
                      <a:off x="0" y="0"/>
                      <a:ext cx="2912895" cy="3315490"/>
                    </a:xfrm>
                    <a:prstGeom prst="rect">
                      <a:avLst/>
                    </a:prstGeom>
                  </pic:spPr>
                </pic:pic>
              </a:graphicData>
            </a:graphic>
          </wp:inline>
        </w:drawing>
      </w:r>
    </w:p>
    <w:p w14:paraId="3B02793B" w14:textId="77777777" w:rsidR="00462CBA" w:rsidRPr="00462CBA" w:rsidRDefault="00462CBA" w:rsidP="00462CBA">
      <w:pPr>
        <w:numPr>
          <w:ilvl w:val="0"/>
          <w:numId w:val="19"/>
        </w:numPr>
      </w:pPr>
      <w:r w:rsidRPr="00462CBA">
        <w:rPr>
          <w:b/>
          <w:bCs/>
        </w:rPr>
        <w:t>2022</w:t>
      </w:r>
      <w:r w:rsidRPr="00462CBA">
        <w:t>:</w:t>
      </w:r>
    </w:p>
    <w:p w14:paraId="68F19FAD" w14:textId="77777777" w:rsidR="00462CBA" w:rsidRPr="00462CBA" w:rsidRDefault="00462CBA" w:rsidP="00462CBA">
      <w:pPr>
        <w:numPr>
          <w:ilvl w:val="0"/>
          <w:numId w:val="19"/>
        </w:numPr>
      </w:pPr>
      <w:r w:rsidRPr="00462CBA">
        <w:t xml:space="preserve">Operational Cost is roughly </w:t>
      </w:r>
      <w:r w:rsidRPr="00462CBA">
        <w:rPr>
          <w:b/>
          <w:bCs/>
        </w:rPr>
        <w:t>20 million</w:t>
      </w:r>
      <w:r w:rsidRPr="00462CBA">
        <w:t>.</w:t>
      </w:r>
    </w:p>
    <w:p w14:paraId="1887A87C" w14:textId="77777777" w:rsidR="00462CBA" w:rsidRPr="00462CBA" w:rsidRDefault="00462CBA" w:rsidP="00462CBA">
      <w:pPr>
        <w:numPr>
          <w:ilvl w:val="0"/>
          <w:numId w:val="19"/>
        </w:numPr>
      </w:pPr>
      <w:r w:rsidRPr="00462CBA">
        <w:t xml:space="preserve">Direct Program Cost is approximately </w:t>
      </w:r>
      <w:r w:rsidRPr="00462CBA">
        <w:rPr>
          <w:b/>
          <w:bCs/>
        </w:rPr>
        <w:t>60 million</w:t>
      </w:r>
      <w:r w:rsidRPr="00462CBA">
        <w:t>, significantly surpassing Operational Cost.</w:t>
      </w:r>
    </w:p>
    <w:p w14:paraId="27576175" w14:textId="77777777" w:rsidR="00462CBA" w:rsidRPr="00462CBA" w:rsidRDefault="00462CBA" w:rsidP="00462CBA">
      <w:pPr>
        <w:numPr>
          <w:ilvl w:val="0"/>
          <w:numId w:val="19"/>
        </w:numPr>
      </w:pPr>
      <w:r w:rsidRPr="00462CBA">
        <w:rPr>
          <w:b/>
          <w:bCs/>
        </w:rPr>
        <w:t>2023</w:t>
      </w:r>
      <w:r w:rsidRPr="00462CBA">
        <w:t>:</w:t>
      </w:r>
    </w:p>
    <w:p w14:paraId="5E42991F" w14:textId="77777777" w:rsidR="00462CBA" w:rsidRPr="00462CBA" w:rsidRDefault="00462CBA" w:rsidP="00462CBA">
      <w:pPr>
        <w:numPr>
          <w:ilvl w:val="0"/>
          <w:numId w:val="19"/>
        </w:numPr>
      </w:pPr>
      <w:r w:rsidRPr="00462CBA">
        <w:t xml:space="preserve">Operational Cost remains unchanged at about </w:t>
      </w:r>
      <w:r w:rsidRPr="00462CBA">
        <w:rPr>
          <w:b/>
          <w:bCs/>
        </w:rPr>
        <w:t>20 million</w:t>
      </w:r>
      <w:r w:rsidRPr="00462CBA">
        <w:t>.</w:t>
      </w:r>
    </w:p>
    <w:p w14:paraId="3BF92F60" w14:textId="77777777" w:rsidR="00462CBA" w:rsidRPr="00462CBA" w:rsidRDefault="00462CBA" w:rsidP="00462CBA">
      <w:pPr>
        <w:numPr>
          <w:ilvl w:val="0"/>
          <w:numId w:val="19"/>
        </w:numPr>
      </w:pPr>
      <w:r w:rsidRPr="00462CBA">
        <w:t xml:space="preserve">Direct Program Cost drops to nearly </w:t>
      </w:r>
      <w:r w:rsidRPr="00462CBA">
        <w:rPr>
          <w:b/>
          <w:bCs/>
        </w:rPr>
        <w:t>40 million</w:t>
      </w:r>
      <w:r w:rsidRPr="00462CBA">
        <w:t>, marking a considerable decline compared to the previous year.</w:t>
      </w:r>
    </w:p>
    <w:p w14:paraId="619B4C0A" w14:textId="77777777" w:rsidR="00462CBA" w:rsidRPr="00462CBA" w:rsidRDefault="00462CBA" w:rsidP="00462CBA">
      <w:pPr>
        <w:numPr>
          <w:ilvl w:val="0"/>
          <w:numId w:val="19"/>
        </w:numPr>
      </w:pPr>
      <w:r w:rsidRPr="00462CBA">
        <w:rPr>
          <w:b/>
          <w:bCs/>
        </w:rPr>
        <w:t>2024</w:t>
      </w:r>
      <w:r w:rsidRPr="00462CBA">
        <w:t>:</w:t>
      </w:r>
    </w:p>
    <w:p w14:paraId="1DC1177E" w14:textId="77777777" w:rsidR="00462CBA" w:rsidRPr="00462CBA" w:rsidRDefault="00462CBA" w:rsidP="00462CBA">
      <w:pPr>
        <w:numPr>
          <w:ilvl w:val="0"/>
          <w:numId w:val="19"/>
        </w:numPr>
      </w:pPr>
      <w:r w:rsidRPr="00462CBA">
        <w:t xml:space="preserve">Operational Cost holds steady at around </w:t>
      </w:r>
      <w:r w:rsidRPr="00462CBA">
        <w:rPr>
          <w:b/>
          <w:bCs/>
        </w:rPr>
        <w:t>20 million</w:t>
      </w:r>
      <w:r w:rsidRPr="00462CBA">
        <w:t>.</w:t>
      </w:r>
    </w:p>
    <w:p w14:paraId="13AEF9EB" w14:textId="77777777" w:rsidR="00462CBA" w:rsidRPr="00462CBA" w:rsidRDefault="00462CBA" w:rsidP="00462CBA">
      <w:pPr>
        <w:numPr>
          <w:ilvl w:val="0"/>
          <w:numId w:val="19"/>
        </w:numPr>
      </w:pPr>
      <w:r w:rsidRPr="00462CBA">
        <w:t xml:space="preserve">Direct Program Cost recovers slightly to about </w:t>
      </w:r>
      <w:r w:rsidRPr="00462CBA">
        <w:rPr>
          <w:b/>
          <w:bCs/>
        </w:rPr>
        <w:t>50 million</w:t>
      </w:r>
      <w:r w:rsidRPr="00462CBA">
        <w:t>, though it does not return to the 2022 level.</w:t>
      </w:r>
    </w:p>
    <w:p w14:paraId="02C9CB06" w14:textId="77777777" w:rsidR="00462CBA" w:rsidRPr="00462CBA" w:rsidRDefault="00462CBA" w:rsidP="00462CBA">
      <w:pPr>
        <w:numPr>
          <w:ilvl w:val="0"/>
          <w:numId w:val="19"/>
        </w:numPr>
      </w:pPr>
      <w:r w:rsidRPr="00462CBA">
        <w:rPr>
          <w:b/>
          <w:bCs/>
        </w:rPr>
        <w:t>Total Direct Program Cost:</w:t>
      </w:r>
      <w:r w:rsidRPr="00462CBA">
        <w:t xml:space="preserve"> approximately </w:t>
      </w:r>
      <w:r w:rsidRPr="00462CBA">
        <w:rPr>
          <w:b/>
          <w:bCs/>
        </w:rPr>
        <w:t>14.44 billion</w:t>
      </w:r>
      <w:r w:rsidRPr="00462CBA">
        <w:t>.</w:t>
      </w:r>
    </w:p>
    <w:p w14:paraId="127E5703" w14:textId="77777777" w:rsidR="00462CBA" w:rsidRPr="00462CBA" w:rsidRDefault="00462CBA" w:rsidP="00462CBA">
      <w:pPr>
        <w:numPr>
          <w:ilvl w:val="0"/>
          <w:numId w:val="19"/>
        </w:numPr>
      </w:pPr>
      <w:r w:rsidRPr="00462CBA">
        <w:rPr>
          <w:b/>
          <w:bCs/>
        </w:rPr>
        <w:t>Total Operational Cost:</w:t>
      </w:r>
      <w:r w:rsidRPr="00462CBA">
        <w:t xml:space="preserve"> about </w:t>
      </w:r>
      <w:r w:rsidRPr="00462CBA">
        <w:rPr>
          <w:b/>
          <w:bCs/>
        </w:rPr>
        <w:t>5.91 billion</w:t>
      </w:r>
      <w:r w:rsidRPr="00462CBA">
        <w:t>.</w:t>
      </w:r>
    </w:p>
    <w:p w14:paraId="13DCB98E" w14:textId="25F24CB9" w:rsidR="00462CBA" w:rsidRDefault="00462CBA" w:rsidP="00462CBA">
      <w:pPr>
        <w:numPr>
          <w:ilvl w:val="0"/>
          <w:numId w:val="19"/>
        </w:numPr>
      </w:pPr>
      <w:r w:rsidRPr="00462CBA">
        <w:lastRenderedPageBreak/>
        <w:t>This analysis highlights that while Operational Costs remain consistent over the years, Direct Program Costs exhibit noticeable fluctuations.</w:t>
      </w:r>
    </w:p>
    <w:p w14:paraId="5D5CCF09" w14:textId="77777777" w:rsidR="00462CBA" w:rsidRPr="00462CBA" w:rsidRDefault="00462CBA" w:rsidP="00462CBA">
      <w:pPr>
        <w:ind w:left="720"/>
      </w:pPr>
    </w:p>
    <w:p w14:paraId="7DE804E5" w14:textId="77777777" w:rsidR="00862105" w:rsidRPr="00DE302E" w:rsidRDefault="00862105" w:rsidP="00862105">
      <w:pPr>
        <w:numPr>
          <w:ilvl w:val="0"/>
          <w:numId w:val="19"/>
        </w:numPr>
      </w:pPr>
      <w:r w:rsidRPr="00833C2A">
        <w:rPr>
          <w:b/>
          <w:bCs/>
        </w:rPr>
        <w:t>Pie Chart (Avg. Total Cost by Partner):</w:t>
      </w:r>
    </w:p>
    <w:p w14:paraId="19E3205A" w14:textId="11AE865A" w:rsidR="009E1341" w:rsidRPr="009E1341" w:rsidRDefault="00862105" w:rsidP="00963DCB">
      <w:pPr>
        <w:ind w:left="720"/>
      </w:pPr>
      <w:r w:rsidRPr="00DE302E">
        <w:rPr>
          <w:noProof/>
        </w:rPr>
        <w:drawing>
          <wp:inline distT="0" distB="0" distL="0" distR="0" wp14:anchorId="548BD8F8" wp14:editId="140F745E">
            <wp:extent cx="2849880" cy="2638525"/>
            <wp:effectExtent l="0" t="0" r="7620" b="9525"/>
            <wp:docPr id="101213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9562" name=""/>
                    <pic:cNvPicPr/>
                  </pic:nvPicPr>
                  <pic:blipFill>
                    <a:blip r:embed="rId14"/>
                    <a:stretch>
                      <a:fillRect/>
                    </a:stretch>
                  </pic:blipFill>
                  <pic:spPr>
                    <a:xfrm>
                      <a:off x="0" y="0"/>
                      <a:ext cx="2853274" cy="2641667"/>
                    </a:xfrm>
                    <a:prstGeom prst="rect">
                      <a:avLst/>
                    </a:prstGeom>
                  </pic:spPr>
                </pic:pic>
              </a:graphicData>
            </a:graphic>
          </wp:inline>
        </w:drawing>
      </w:r>
    </w:p>
    <w:p w14:paraId="395CEBE5" w14:textId="77777777" w:rsidR="009E1341" w:rsidRPr="009E1341" w:rsidRDefault="009E1341" w:rsidP="009E1341">
      <w:pPr>
        <w:numPr>
          <w:ilvl w:val="0"/>
          <w:numId w:val="19"/>
        </w:numPr>
      </w:pPr>
      <w:r w:rsidRPr="009E1341">
        <w:rPr>
          <w:b/>
          <w:bCs/>
        </w:rPr>
        <w:t>Partner A</w:t>
      </w:r>
      <w:r w:rsidRPr="009E1341">
        <w:t xml:space="preserve">: Represents an average total cost of </w:t>
      </w:r>
      <w:r w:rsidRPr="009E1341">
        <w:rPr>
          <w:b/>
          <w:bCs/>
        </w:rPr>
        <w:t>52.03M</w:t>
      </w:r>
      <w:r w:rsidRPr="009E1341">
        <w:t>, making it the partner with the lowest associated cost.</w:t>
      </w:r>
    </w:p>
    <w:p w14:paraId="3CD289CE" w14:textId="77777777" w:rsidR="009E1341" w:rsidRPr="009E1341" w:rsidRDefault="009E1341" w:rsidP="009E1341">
      <w:pPr>
        <w:numPr>
          <w:ilvl w:val="0"/>
          <w:numId w:val="19"/>
        </w:numPr>
      </w:pPr>
      <w:r w:rsidRPr="009E1341">
        <w:rPr>
          <w:b/>
          <w:bCs/>
        </w:rPr>
        <w:t>Partner B</w:t>
      </w:r>
      <w:r w:rsidRPr="009E1341">
        <w:t xml:space="preserve">: Accounts for the highest cost at </w:t>
      </w:r>
      <w:r w:rsidRPr="009E1341">
        <w:rPr>
          <w:b/>
          <w:bCs/>
        </w:rPr>
        <w:t>103.39M</w:t>
      </w:r>
      <w:r w:rsidRPr="009E1341">
        <w:t>, surpassing the other two significantly.</w:t>
      </w:r>
    </w:p>
    <w:p w14:paraId="73FD86F7" w14:textId="77777777" w:rsidR="009E1341" w:rsidRPr="009E1341" w:rsidRDefault="009E1341" w:rsidP="009E1341">
      <w:pPr>
        <w:numPr>
          <w:ilvl w:val="0"/>
          <w:numId w:val="19"/>
        </w:numPr>
      </w:pPr>
      <w:r w:rsidRPr="009E1341">
        <w:rPr>
          <w:b/>
          <w:bCs/>
        </w:rPr>
        <w:t>Partner C</w:t>
      </w:r>
      <w:r w:rsidRPr="009E1341">
        <w:t xml:space="preserve">: Falls in between with an average total cost of </w:t>
      </w:r>
      <w:r w:rsidRPr="009E1341">
        <w:rPr>
          <w:b/>
          <w:bCs/>
        </w:rPr>
        <w:t>82.77M</w:t>
      </w:r>
      <w:r w:rsidRPr="009E1341">
        <w:t>.</w:t>
      </w:r>
    </w:p>
    <w:p w14:paraId="602F977B" w14:textId="77777777" w:rsidR="009E1341" w:rsidRPr="009E1341" w:rsidRDefault="009E1341" w:rsidP="009E1341">
      <w:pPr>
        <w:numPr>
          <w:ilvl w:val="0"/>
          <w:numId w:val="19"/>
        </w:numPr>
      </w:pPr>
      <w:r w:rsidRPr="009E1341">
        <w:t>The chart clearly illustrates that Partner B incurs the greatest cost, while Partner A is the most cost-efficient of the three. This distribution highlights potential areas for analysis, such as identifying what drives Partner B’s higher costs or exploring ways to optimize expenses across all partners.</w:t>
      </w:r>
    </w:p>
    <w:p w14:paraId="3C9F4132" w14:textId="29C8A1DC" w:rsidR="00862105" w:rsidRPr="00833C2A" w:rsidRDefault="005A6395" w:rsidP="005A6395">
      <w:r>
        <w:br w:type="page"/>
      </w:r>
    </w:p>
    <w:p w14:paraId="2B9585D9" w14:textId="77777777" w:rsidR="00862105" w:rsidRPr="00CB0989" w:rsidRDefault="00862105" w:rsidP="00862105">
      <w:pPr>
        <w:rPr>
          <w:b/>
          <w:bCs/>
          <w:sz w:val="32"/>
          <w:szCs w:val="32"/>
        </w:rPr>
      </w:pPr>
      <w:r w:rsidRPr="00CB0989">
        <w:rPr>
          <w:b/>
          <w:bCs/>
          <w:sz w:val="32"/>
          <w:szCs w:val="32"/>
        </w:rPr>
        <w:lastRenderedPageBreak/>
        <w:t>Dashboard Part 2: Category-Based Expenditure Analysis</w:t>
      </w:r>
    </w:p>
    <w:p w14:paraId="223CA063" w14:textId="6A3A8A2D" w:rsidR="00862105" w:rsidRPr="00833C2A" w:rsidRDefault="00862105" w:rsidP="00862105">
      <w:r w:rsidRPr="00833C2A">
        <w:t>The objective of this section was to analy</w:t>
      </w:r>
      <w:r w:rsidR="00146A97">
        <w:t>s</w:t>
      </w:r>
      <w:r w:rsidRPr="00833C2A">
        <w:t>e cost allocations across different categories, such as Education, Food, Health, Community, and Livelihood, over a span of three years (2022-2024). This helps in identifying spending patterns and making informed budgeting decisions.</w:t>
      </w:r>
      <w:r>
        <w:t xml:space="preserve"> </w:t>
      </w:r>
      <w:r w:rsidRPr="00833C2A">
        <w:t>Part 2 of the dashboard contains the following visualizations:</w:t>
      </w:r>
    </w:p>
    <w:p w14:paraId="0AE1C58B" w14:textId="77777777" w:rsidR="00862105" w:rsidRDefault="00862105" w:rsidP="00862105">
      <w:pPr>
        <w:numPr>
          <w:ilvl w:val="0"/>
          <w:numId w:val="21"/>
        </w:numPr>
      </w:pPr>
      <w:r w:rsidRPr="00833C2A">
        <w:rPr>
          <w:b/>
          <w:bCs/>
        </w:rPr>
        <w:t>Stacked Bar Chart (Category-Wise Spending by Year):</w:t>
      </w:r>
      <w:r w:rsidRPr="00833C2A">
        <w:t xml:space="preserve"> </w:t>
      </w:r>
    </w:p>
    <w:p w14:paraId="1264153B" w14:textId="77777777" w:rsidR="00862105" w:rsidRDefault="00862105" w:rsidP="00862105">
      <w:pPr>
        <w:ind w:left="720"/>
      </w:pPr>
      <w:r w:rsidRPr="00DE302E">
        <w:rPr>
          <w:noProof/>
        </w:rPr>
        <w:drawing>
          <wp:inline distT="0" distB="0" distL="0" distR="0" wp14:anchorId="2FEFFE8F" wp14:editId="25058792">
            <wp:extent cx="2613660" cy="4415589"/>
            <wp:effectExtent l="0" t="0" r="0" b="4445"/>
            <wp:docPr id="157563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39534" name=""/>
                    <pic:cNvPicPr/>
                  </pic:nvPicPr>
                  <pic:blipFill>
                    <a:blip r:embed="rId15"/>
                    <a:stretch>
                      <a:fillRect/>
                    </a:stretch>
                  </pic:blipFill>
                  <pic:spPr>
                    <a:xfrm>
                      <a:off x="0" y="0"/>
                      <a:ext cx="2617992" cy="4422908"/>
                    </a:xfrm>
                    <a:prstGeom prst="rect">
                      <a:avLst/>
                    </a:prstGeom>
                  </pic:spPr>
                </pic:pic>
              </a:graphicData>
            </a:graphic>
          </wp:inline>
        </w:drawing>
      </w:r>
    </w:p>
    <w:p w14:paraId="0FF015B4" w14:textId="217B07B5" w:rsidR="00797CEE" w:rsidRPr="00797CEE" w:rsidRDefault="00797CEE" w:rsidP="00797CEE">
      <w:pPr>
        <w:numPr>
          <w:ilvl w:val="0"/>
          <w:numId w:val="21"/>
        </w:numPr>
      </w:pPr>
      <w:r w:rsidRPr="00797CEE">
        <w:t>The provided bar chart highlights annual expenditures across five distinct categories</w:t>
      </w:r>
      <w:r w:rsidR="005A6395">
        <w:t xml:space="preserve"> </w:t>
      </w:r>
      <w:r w:rsidRPr="00797CEE">
        <w:t>—</w:t>
      </w:r>
      <w:r w:rsidR="005A6395">
        <w:t xml:space="preserve"> </w:t>
      </w:r>
      <w:r w:rsidRPr="00797CEE">
        <w:t>Education, Food, Health, Community &amp; Organization, and Livelihood</w:t>
      </w:r>
      <w:r w:rsidR="005A6395">
        <w:t xml:space="preserve"> </w:t>
      </w:r>
      <w:r w:rsidRPr="00797CEE">
        <w:t xml:space="preserve">for the years 2022, 2023, and 2024. Each bar is segmented to represent these categories using distinct </w:t>
      </w:r>
      <w:proofErr w:type="spellStart"/>
      <w:r w:rsidRPr="00797CEE">
        <w:t>colors</w:t>
      </w:r>
      <w:proofErr w:type="spellEnd"/>
      <w:r w:rsidRPr="00797CEE">
        <w:t xml:space="preserve"> for easy identification.</w:t>
      </w:r>
    </w:p>
    <w:p w14:paraId="087D4B2C" w14:textId="77777777" w:rsidR="00797CEE" w:rsidRPr="00797CEE" w:rsidRDefault="00797CEE" w:rsidP="00797CEE">
      <w:pPr>
        <w:numPr>
          <w:ilvl w:val="0"/>
          <w:numId w:val="21"/>
        </w:numPr>
        <w:rPr>
          <w:b/>
          <w:bCs/>
        </w:rPr>
      </w:pPr>
      <w:r w:rsidRPr="00797CEE">
        <w:rPr>
          <w:b/>
          <w:bCs/>
        </w:rPr>
        <w:t>Key Insights:</w:t>
      </w:r>
    </w:p>
    <w:p w14:paraId="49B993FA" w14:textId="77777777" w:rsidR="00797CEE" w:rsidRPr="00797CEE" w:rsidRDefault="00797CEE" w:rsidP="00797CEE">
      <w:pPr>
        <w:numPr>
          <w:ilvl w:val="0"/>
          <w:numId w:val="21"/>
        </w:numPr>
      </w:pPr>
      <w:r w:rsidRPr="00797CEE">
        <w:rPr>
          <w:b/>
          <w:bCs/>
        </w:rPr>
        <w:t>2022</w:t>
      </w:r>
      <w:r w:rsidRPr="00797CEE">
        <w:t>:</w:t>
      </w:r>
    </w:p>
    <w:p w14:paraId="6F6EB21D" w14:textId="77777777" w:rsidR="00797CEE" w:rsidRPr="00797CEE" w:rsidRDefault="00797CEE" w:rsidP="00797CEE">
      <w:pPr>
        <w:numPr>
          <w:ilvl w:val="0"/>
          <w:numId w:val="21"/>
        </w:numPr>
      </w:pPr>
      <w:r w:rsidRPr="00797CEE">
        <w:rPr>
          <w:b/>
          <w:bCs/>
        </w:rPr>
        <w:t>Education</w:t>
      </w:r>
      <w:r w:rsidRPr="00797CEE">
        <w:t xml:space="preserve"> contributes </w:t>
      </w:r>
      <w:r w:rsidRPr="00797CEE">
        <w:rPr>
          <w:b/>
          <w:bCs/>
        </w:rPr>
        <w:t>26M</w:t>
      </w:r>
      <w:r w:rsidRPr="00797CEE">
        <w:t>, forming a major portion of the total expenditure.</w:t>
      </w:r>
    </w:p>
    <w:p w14:paraId="04B3E9A4" w14:textId="77777777" w:rsidR="00797CEE" w:rsidRPr="00797CEE" w:rsidRDefault="00797CEE" w:rsidP="00797CEE">
      <w:pPr>
        <w:numPr>
          <w:ilvl w:val="0"/>
          <w:numId w:val="21"/>
        </w:numPr>
      </w:pPr>
      <w:r w:rsidRPr="00797CEE">
        <w:rPr>
          <w:b/>
          <w:bCs/>
        </w:rPr>
        <w:t>Food</w:t>
      </w:r>
      <w:r w:rsidRPr="00797CEE">
        <w:t xml:space="preserve"> accounts for </w:t>
      </w:r>
      <w:r w:rsidRPr="00797CEE">
        <w:rPr>
          <w:b/>
          <w:bCs/>
        </w:rPr>
        <w:t>14M</w:t>
      </w:r>
      <w:r w:rsidRPr="00797CEE">
        <w:t xml:space="preserve">, while </w:t>
      </w:r>
      <w:r w:rsidRPr="00797CEE">
        <w:rPr>
          <w:b/>
          <w:bCs/>
        </w:rPr>
        <w:t>Livelihood</w:t>
      </w:r>
      <w:r w:rsidRPr="00797CEE">
        <w:t xml:space="preserve"> follows closely at </w:t>
      </w:r>
      <w:r w:rsidRPr="00797CEE">
        <w:rPr>
          <w:b/>
          <w:bCs/>
        </w:rPr>
        <w:t>19M</w:t>
      </w:r>
      <w:r w:rsidRPr="00797CEE">
        <w:t>.</w:t>
      </w:r>
    </w:p>
    <w:p w14:paraId="0516E9A9" w14:textId="77777777" w:rsidR="00797CEE" w:rsidRPr="00797CEE" w:rsidRDefault="00797CEE" w:rsidP="00797CEE">
      <w:pPr>
        <w:numPr>
          <w:ilvl w:val="0"/>
          <w:numId w:val="21"/>
        </w:numPr>
      </w:pPr>
      <w:r w:rsidRPr="00797CEE">
        <w:rPr>
          <w:b/>
          <w:bCs/>
        </w:rPr>
        <w:t>Health</w:t>
      </w:r>
      <w:r w:rsidRPr="00797CEE">
        <w:t xml:space="preserve"> and </w:t>
      </w:r>
      <w:r w:rsidRPr="00797CEE">
        <w:rPr>
          <w:b/>
          <w:bCs/>
        </w:rPr>
        <w:t>Community &amp; Organization</w:t>
      </w:r>
      <w:r w:rsidRPr="00797CEE">
        <w:t xml:space="preserve"> incur smaller costs of </w:t>
      </w:r>
      <w:r w:rsidRPr="00797CEE">
        <w:rPr>
          <w:b/>
          <w:bCs/>
        </w:rPr>
        <w:t>6M</w:t>
      </w:r>
      <w:r w:rsidRPr="00797CEE">
        <w:t xml:space="preserve"> and </w:t>
      </w:r>
      <w:r w:rsidRPr="00797CEE">
        <w:rPr>
          <w:b/>
          <w:bCs/>
        </w:rPr>
        <w:t>5M</w:t>
      </w:r>
      <w:r w:rsidRPr="00797CEE">
        <w:t>, respectively.</w:t>
      </w:r>
    </w:p>
    <w:p w14:paraId="5B0EAAE5" w14:textId="77777777" w:rsidR="00797CEE" w:rsidRPr="00797CEE" w:rsidRDefault="00797CEE" w:rsidP="00797CEE">
      <w:pPr>
        <w:numPr>
          <w:ilvl w:val="0"/>
          <w:numId w:val="21"/>
        </w:numPr>
      </w:pPr>
      <w:r w:rsidRPr="00797CEE">
        <w:rPr>
          <w:b/>
          <w:bCs/>
        </w:rPr>
        <w:lastRenderedPageBreak/>
        <w:t>2023</w:t>
      </w:r>
      <w:r w:rsidRPr="00797CEE">
        <w:t>:</w:t>
      </w:r>
    </w:p>
    <w:p w14:paraId="5CBEFD5D" w14:textId="77777777" w:rsidR="00797CEE" w:rsidRPr="00797CEE" w:rsidRDefault="00797CEE" w:rsidP="00797CEE">
      <w:pPr>
        <w:numPr>
          <w:ilvl w:val="0"/>
          <w:numId w:val="21"/>
        </w:numPr>
      </w:pPr>
      <w:r w:rsidRPr="00797CEE">
        <w:rPr>
          <w:b/>
          <w:bCs/>
        </w:rPr>
        <w:t>Education</w:t>
      </w:r>
      <w:r w:rsidRPr="00797CEE">
        <w:t xml:space="preserve"> expenditure increases to </w:t>
      </w:r>
      <w:r w:rsidRPr="00797CEE">
        <w:rPr>
          <w:b/>
          <w:bCs/>
        </w:rPr>
        <w:t>29M</w:t>
      </w:r>
      <w:r w:rsidRPr="00797CEE">
        <w:t>, showcasing a focus on this domain.</w:t>
      </w:r>
    </w:p>
    <w:p w14:paraId="260AC163" w14:textId="77777777" w:rsidR="00797CEE" w:rsidRPr="00797CEE" w:rsidRDefault="00797CEE" w:rsidP="00797CEE">
      <w:pPr>
        <w:numPr>
          <w:ilvl w:val="0"/>
          <w:numId w:val="21"/>
        </w:numPr>
      </w:pPr>
      <w:r w:rsidRPr="00797CEE">
        <w:rPr>
          <w:b/>
          <w:bCs/>
        </w:rPr>
        <w:t>Food</w:t>
      </w:r>
      <w:r w:rsidRPr="00797CEE">
        <w:t xml:space="preserve"> costs dip to </w:t>
      </w:r>
      <w:r w:rsidRPr="00797CEE">
        <w:rPr>
          <w:b/>
          <w:bCs/>
        </w:rPr>
        <w:t>11M</w:t>
      </w:r>
      <w:r w:rsidRPr="00797CEE">
        <w:t>, marking a notable reduction.</w:t>
      </w:r>
    </w:p>
    <w:p w14:paraId="05A9BC53" w14:textId="77777777" w:rsidR="00797CEE" w:rsidRPr="00797CEE" w:rsidRDefault="00797CEE" w:rsidP="00797CEE">
      <w:pPr>
        <w:numPr>
          <w:ilvl w:val="0"/>
          <w:numId w:val="21"/>
        </w:numPr>
      </w:pPr>
      <w:r w:rsidRPr="00797CEE">
        <w:rPr>
          <w:b/>
          <w:bCs/>
        </w:rPr>
        <w:t>Livelihood</w:t>
      </w:r>
      <w:r w:rsidRPr="00797CEE">
        <w:t xml:space="preserve"> costs decline to </w:t>
      </w:r>
      <w:r w:rsidRPr="00797CEE">
        <w:rPr>
          <w:b/>
          <w:bCs/>
        </w:rPr>
        <w:t>12M</w:t>
      </w:r>
      <w:r w:rsidRPr="00797CEE">
        <w:t xml:space="preserve">, while </w:t>
      </w:r>
      <w:r w:rsidRPr="00797CEE">
        <w:rPr>
          <w:b/>
          <w:bCs/>
        </w:rPr>
        <w:t>Health</w:t>
      </w:r>
      <w:r w:rsidRPr="00797CEE">
        <w:t xml:space="preserve"> and </w:t>
      </w:r>
      <w:r w:rsidRPr="00797CEE">
        <w:rPr>
          <w:b/>
          <w:bCs/>
        </w:rPr>
        <w:t>Community &amp; Organization</w:t>
      </w:r>
      <w:r w:rsidRPr="00797CEE">
        <w:t xml:space="preserve"> maintain relatively consistent values at </w:t>
      </w:r>
      <w:r w:rsidRPr="00797CEE">
        <w:rPr>
          <w:b/>
          <w:bCs/>
        </w:rPr>
        <w:t>4M</w:t>
      </w:r>
      <w:r w:rsidRPr="00797CEE">
        <w:t xml:space="preserve"> and </w:t>
      </w:r>
      <w:r w:rsidRPr="00797CEE">
        <w:rPr>
          <w:b/>
          <w:bCs/>
        </w:rPr>
        <w:t>6M</w:t>
      </w:r>
      <w:r w:rsidRPr="00797CEE">
        <w:t>.</w:t>
      </w:r>
    </w:p>
    <w:p w14:paraId="5BAA68F5" w14:textId="77777777" w:rsidR="00797CEE" w:rsidRPr="00797CEE" w:rsidRDefault="00797CEE" w:rsidP="00797CEE">
      <w:pPr>
        <w:numPr>
          <w:ilvl w:val="0"/>
          <w:numId w:val="21"/>
        </w:numPr>
      </w:pPr>
      <w:r w:rsidRPr="00797CEE">
        <w:rPr>
          <w:b/>
          <w:bCs/>
        </w:rPr>
        <w:t>2024</w:t>
      </w:r>
      <w:r w:rsidRPr="00797CEE">
        <w:t>:</w:t>
      </w:r>
    </w:p>
    <w:p w14:paraId="338970AC" w14:textId="77777777" w:rsidR="00797CEE" w:rsidRPr="00797CEE" w:rsidRDefault="00797CEE" w:rsidP="00797CEE">
      <w:pPr>
        <w:numPr>
          <w:ilvl w:val="0"/>
          <w:numId w:val="21"/>
        </w:numPr>
      </w:pPr>
      <w:r w:rsidRPr="00797CEE">
        <w:rPr>
          <w:b/>
          <w:bCs/>
        </w:rPr>
        <w:t>Education</w:t>
      </w:r>
      <w:r w:rsidRPr="00797CEE">
        <w:t xml:space="preserve"> expenses rise further to </w:t>
      </w:r>
      <w:r w:rsidRPr="00797CEE">
        <w:rPr>
          <w:b/>
          <w:bCs/>
        </w:rPr>
        <w:t>31M</w:t>
      </w:r>
      <w:r w:rsidRPr="00797CEE">
        <w:t>, indicating its growing importance over the three years.</w:t>
      </w:r>
    </w:p>
    <w:p w14:paraId="3AB43F04" w14:textId="77777777" w:rsidR="00797CEE" w:rsidRPr="00797CEE" w:rsidRDefault="00797CEE" w:rsidP="00797CEE">
      <w:pPr>
        <w:numPr>
          <w:ilvl w:val="0"/>
          <w:numId w:val="21"/>
        </w:numPr>
      </w:pPr>
      <w:r w:rsidRPr="00797CEE">
        <w:rPr>
          <w:b/>
          <w:bCs/>
        </w:rPr>
        <w:t>Food</w:t>
      </w:r>
      <w:r w:rsidRPr="00797CEE">
        <w:t xml:space="preserve"> costs increase slightly to </w:t>
      </w:r>
      <w:r w:rsidRPr="00797CEE">
        <w:rPr>
          <w:b/>
          <w:bCs/>
        </w:rPr>
        <w:t>13M</w:t>
      </w:r>
      <w:r w:rsidRPr="00797CEE">
        <w:t>.</w:t>
      </w:r>
    </w:p>
    <w:p w14:paraId="2FE24FB3" w14:textId="77777777" w:rsidR="00797CEE" w:rsidRPr="00797CEE" w:rsidRDefault="00797CEE" w:rsidP="00797CEE">
      <w:pPr>
        <w:numPr>
          <w:ilvl w:val="0"/>
          <w:numId w:val="21"/>
        </w:numPr>
      </w:pPr>
      <w:r w:rsidRPr="00797CEE">
        <w:rPr>
          <w:b/>
          <w:bCs/>
        </w:rPr>
        <w:t>Livelihood</w:t>
      </w:r>
      <w:r w:rsidRPr="00797CEE">
        <w:t xml:space="preserve"> sees another decrease, falling to </w:t>
      </w:r>
      <w:r w:rsidRPr="00797CEE">
        <w:rPr>
          <w:b/>
          <w:bCs/>
        </w:rPr>
        <w:t>11M</w:t>
      </w:r>
      <w:r w:rsidRPr="00797CEE">
        <w:t xml:space="preserve">, while </w:t>
      </w:r>
      <w:r w:rsidRPr="00797CEE">
        <w:rPr>
          <w:b/>
          <w:bCs/>
        </w:rPr>
        <w:t>Health</w:t>
      </w:r>
      <w:r w:rsidRPr="00797CEE">
        <w:t xml:space="preserve"> and </w:t>
      </w:r>
      <w:r w:rsidRPr="00797CEE">
        <w:rPr>
          <w:b/>
          <w:bCs/>
        </w:rPr>
        <w:t>Community &amp; Organization</w:t>
      </w:r>
      <w:r w:rsidRPr="00797CEE">
        <w:t xml:space="preserve"> expenditures remain stable.</w:t>
      </w:r>
    </w:p>
    <w:p w14:paraId="1818584D" w14:textId="77777777" w:rsidR="00797CEE" w:rsidRPr="00797CEE" w:rsidRDefault="00797CEE" w:rsidP="00797CEE">
      <w:pPr>
        <w:numPr>
          <w:ilvl w:val="0"/>
          <w:numId w:val="21"/>
        </w:numPr>
        <w:rPr>
          <w:b/>
          <w:bCs/>
        </w:rPr>
      </w:pPr>
      <w:r w:rsidRPr="00797CEE">
        <w:rPr>
          <w:b/>
          <w:bCs/>
        </w:rPr>
        <w:t>Observations:</w:t>
      </w:r>
    </w:p>
    <w:p w14:paraId="79004661" w14:textId="77777777" w:rsidR="00797CEE" w:rsidRPr="00797CEE" w:rsidRDefault="00797CEE" w:rsidP="00797CEE">
      <w:pPr>
        <w:numPr>
          <w:ilvl w:val="0"/>
          <w:numId w:val="21"/>
        </w:numPr>
      </w:pPr>
      <w:r w:rsidRPr="00797CEE">
        <w:rPr>
          <w:b/>
          <w:bCs/>
        </w:rPr>
        <w:t>Education</w:t>
      </w:r>
      <w:r w:rsidRPr="00797CEE">
        <w:t xml:space="preserve"> consistently shows a growth trend, emphasizing its priority across the years.</w:t>
      </w:r>
    </w:p>
    <w:p w14:paraId="1A98F139" w14:textId="77777777" w:rsidR="00797CEE" w:rsidRPr="00797CEE" w:rsidRDefault="00797CEE" w:rsidP="00797CEE">
      <w:pPr>
        <w:numPr>
          <w:ilvl w:val="0"/>
          <w:numId w:val="21"/>
        </w:numPr>
      </w:pPr>
      <w:r w:rsidRPr="00797CEE">
        <w:rPr>
          <w:b/>
          <w:bCs/>
        </w:rPr>
        <w:t>Livelihood</w:t>
      </w:r>
      <w:r w:rsidRPr="00797CEE">
        <w:t xml:space="preserve"> demonstrates a declining trajectory, which may warrant further investigation into underlying causes or shifts in funding allocation.</w:t>
      </w:r>
    </w:p>
    <w:p w14:paraId="786AE674" w14:textId="77777777" w:rsidR="00797CEE" w:rsidRPr="00797CEE" w:rsidRDefault="00797CEE" w:rsidP="00797CEE">
      <w:pPr>
        <w:numPr>
          <w:ilvl w:val="0"/>
          <w:numId w:val="21"/>
        </w:numPr>
      </w:pPr>
      <w:r w:rsidRPr="00797CEE">
        <w:rPr>
          <w:b/>
          <w:bCs/>
        </w:rPr>
        <w:t>Health</w:t>
      </w:r>
      <w:r w:rsidRPr="00797CEE">
        <w:t xml:space="preserve"> and </w:t>
      </w:r>
      <w:r w:rsidRPr="00797CEE">
        <w:rPr>
          <w:b/>
          <w:bCs/>
        </w:rPr>
        <w:t>Community &amp; Organization</w:t>
      </w:r>
      <w:r w:rsidRPr="00797CEE">
        <w:t xml:space="preserve"> expenditures remain steady, indicating stable investment in these areas.</w:t>
      </w:r>
    </w:p>
    <w:p w14:paraId="30EAFF1D" w14:textId="77777777" w:rsidR="00797CEE" w:rsidRPr="00797CEE" w:rsidRDefault="00797CEE" w:rsidP="00797CEE">
      <w:pPr>
        <w:ind w:left="720"/>
      </w:pPr>
    </w:p>
    <w:p w14:paraId="21E24ED9" w14:textId="03B0CE67" w:rsidR="00862105" w:rsidRPr="00DE302E" w:rsidRDefault="00862105" w:rsidP="00862105">
      <w:pPr>
        <w:numPr>
          <w:ilvl w:val="0"/>
          <w:numId w:val="21"/>
        </w:numPr>
      </w:pPr>
      <w:r w:rsidRPr="00833C2A">
        <w:rPr>
          <w:b/>
          <w:bCs/>
        </w:rPr>
        <w:t>Pie Chart (Average Education Total by Year):</w:t>
      </w:r>
    </w:p>
    <w:p w14:paraId="01F79654" w14:textId="77777777" w:rsidR="00862105" w:rsidRPr="00DE302E" w:rsidRDefault="00862105" w:rsidP="00862105">
      <w:pPr>
        <w:ind w:left="720"/>
      </w:pPr>
      <w:r w:rsidRPr="00DE302E">
        <w:rPr>
          <w:noProof/>
        </w:rPr>
        <w:drawing>
          <wp:inline distT="0" distB="0" distL="0" distR="0" wp14:anchorId="602EBAC9" wp14:editId="7BC0AD8C">
            <wp:extent cx="3017042" cy="2522220"/>
            <wp:effectExtent l="0" t="0" r="0" b="0"/>
            <wp:docPr id="169161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2621" name=""/>
                    <pic:cNvPicPr/>
                  </pic:nvPicPr>
                  <pic:blipFill>
                    <a:blip r:embed="rId16"/>
                    <a:stretch>
                      <a:fillRect/>
                    </a:stretch>
                  </pic:blipFill>
                  <pic:spPr>
                    <a:xfrm>
                      <a:off x="0" y="0"/>
                      <a:ext cx="3022215" cy="2526545"/>
                    </a:xfrm>
                    <a:prstGeom prst="rect">
                      <a:avLst/>
                    </a:prstGeom>
                  </pic:spPr>
                </pic:pic>
              </a:graphicData>
            </a:graphic>
          </wp:inline>
        </w:drawing>
      </w:r>
    </w:p>
    <w:p w14:paraId="7EF246C0" w14:textId="0545EBA6" w:rsidR="006008D7" w:rsidRPr="006008D7" w:rsidRDefault="00862105" w:rsidP="006008D7">
      <w:pPr>
        <w:numPr>
          <w:ilvl w:val="0"/>
          <w:numId w:val="21"/>
        </w:numPr>
      </w:pPr>
      <w:r w:rsidRPr="00833C2A">
        <w:t xml:space="preserve"> </w:t>
      </w:r>
      <w:r w:rsidR="006008D7" w:rsidRPr="006008D7">
        <w:t xml:space="preserve">This pie chart, presents the average total figures related to education expenses for three consecutive years: 2022, 2023, and 2024. Each year is represented as a distinct </w:t>
      </w:r>
      <w:r w:rsidR="006008D7" w:rsidRPr="006008D7">
        <w:lastRenderedPageBreak/>
        <w:t>segment of the chart, color-coded for clarity, and their proportions are shown as percentages of the overall total.</w:t>
      </w:r>
    </w:p>
    <w:p w14:paraId="2F91244B" w14:textId="77777777" w:rsidR="006008D7" w:rsidRPr="006008D7" w:rsidRDefault="006008D7" w:rsidP="006008D7">
      <w:pPr>
        <w:numPr>
          <w:ilvl w:val="0"/>
          <w:numId w:val="21"/>
        </w:numPr>
        <w:rPr>
          <w:b/>
          <w:bCs/>
        </w:rPr>
      </w:pPr>
      <w:r w:rsidRPr="006008D7">
        <w:rPr>
          <w:b/>
          <w:bCs/>
        </w:rPr>
        <w:t>Key Insights:</w:t>
      </w:r>
    </w:p>
    <w:p w14:paraId="6E2A247D" w14:textId="77777777" w:rsidR="006008D7" w:rsidRPr="006008D7" w:rsidRDefault="006008D7" w:rsidP="006008D7">
      <w:pPr>
        <w:numPr>
          <w:ilvl w:val="0"/>
          <w:numId w:val="21"/>
        </w:numPr>
      </w:pPr>
      <w:r w:rsidRPr="006008D7">
        <w:rPr>
          <w:b/>
          <w:bCs/>
        </w:rPr>
        <w:t>2022</w:t>
      </w:r>
      <w:r w:rsidRPr="006008D7">
        <w:t xml:space="preserve">: The light purple segment represents this year, showing an average education total of </w:t>
      </w:r>
      <w:r w:rsidRPr="006008D7">
        <w:rPr>
          <w:b/>
          <w:bCs/>
        </w:rPr>
        <w:t>28.03M</w:t>
      </w:r>
      <w:r w:rsidRPr="006008D7">
        <w:t xml:space="preserve">, accounting for </w:t>
      </w:r>
      <w:r w:rsidRPr="006008D7">
        <w:rPr>
          <w:b/>
          <w:bCs/>
        </w:rPr>
        <w:t>31.77%</w:t>
      </w:r>
      <w:r w:rsidRPr="006008D7">
        <w:t xml:space="preserve"> of the overall total. This indicates that education spending was relatively significant but not the highest among the years shown.</w:t>
      </w:r>
    </w:p>
    <w:p w14:paraId="61C6C80B" w14:textId="77777777" w:rsidR="006008D7" w:rsidRPr="006008D7" w:rsidRDefault="006008D7" w:rsidP="006008D7">
      <w:pPr>
        <w:numPr>
          <w:ilvl w:val="0"/>
          <w:numId w:val="21"/>
        </w:numPr>
      </w:pPr>
      <w:r w:rsidRPr="006008D7">
        <w:rPr>
          <w:b/>
          <w:bCs/>
        </w:rPr>
        <w:t>2023</w:t>
      </w:r>
      <w:r w:rsidRPr="006008D7">
        <w:t xml:space="preserve">: The purple segment signifies this year, with an average education total of </w:t>
      </w:r>
      <w:r w:rsidRPr="006008D7">
        <w:rPr>
          <w:b/>
          <w:bCs/>
        </w:rPr>
        <w:t>28.91M</w:t>
      </w:r>
      <w:r w:rsidRPr="006008D7">
        <w:t xml:space="preserve">, contributing to </w:t>
      </w:r>
      <w:r w:rsidRPr="006008D7">
        <w:rPr>
          <w:b/>
          <w:bCs/>
        </w:rPr>
        <w:t>32.77%</w:t>
      </w:r>
      <w:r w:rsidRPr="006008D7">
        <w:t xml:space="preserve"> of the total. This suggests a slight increase in education expenditure compared to 2022.</w:t>
      </w:r>
    </w:p>
    <w:p w14:paraId="21F538EC" w14:textId="77777777" w:rsidR="006008D7" w:rsidRPr="006008D7" w:rsidRDefault="006008D7" w:rsidP="006008D7">
      <w:pPr>
        <w:numPr>
          <w:ilvl w:val="0"/>
          <w:numId w:val="21"/>
        </w:numPr>
      </w:pPr>
      <w:r w:rsidRPr="006008D7">
        <w:rPr>
          <w:b/>
          <w:bCs/>
        </w:rPr>
        <w:t>2024</w:t>
      </w:r>
      <w:r w:rsidRPr="006008D7">
        <w:t xml:space="preserve">: The dark purple segment corresponds to this year, showing an average education total of </w:t>
      </w:r>
      <w:r w:rsidRPr="006008D7">
        <w:rPr>
          <w:b/>
          <w:bCs/>
        </w:rPr>
        <w:t>31.27M</w:t>
      </w:r>
      <w:r w:rsidRPr="006008D7">
        <w:t xml:space="preserve">, making up </w:t>
      </w:r>
      <w:r w:rsidRPr="006008D7">
        <w:rPr>
          <w:b/>
          <w:bCs/>
        </w:rPr>
        <w:t>35.45%</w:t>
      </w:r>
      <w:r w:rsidRPr="006008D7">
        <w:t xml:space="preserve"> of the overall total. The consistent rise in spending points to an ongoing prioritization of education funding over these years.</w:t>
      </w:r>
    </w:p>
    <w:p w14:paraId="579570ED" w14:textId="77777777" w:rsidR="006008D7" w:rsidRPr="006008D7" w:rsidRDefault="006008D7" w:rsidP="006008D7">
      <w:pPr>
        <w:numPr>
          <w:ilvl w:val="0"/>
          <w:numId w:val="21"/>
        </w:numPr>
        <w:rPr>
          <w:b/>
          <w:bCs/>
        </w:rPr>
      </w:pPr>
      <w:r w:rsidRPr="006008D7">
        <w:rPr>
          <w:b/>
          <w:bCs/>
        </w:rPr>
        <w:t>Observations:</w:t>
      </w:r>
    </w:p>
    <w:p w14:paraId="1B1A20F9" w14:textId="77777777" w:rsidR="006008D7" w:rsidRPr="006008D7" w:rsidRDefault="006008D7" w:rsidP="00AA5364">
      <w:pPr>
        <w:ind w:left="360"/>
      </w:pPr>
      <w:r w:rsidRPr="006008D7">
        <w:t>The pie chart demonstrates a steady upward trend in education-related expenses, with each successive year accounting for a larger share of the total. This could indicate increased funding allocations towards educational initiatives or programs over time. A deeper analysis could explore potential drivers behind these increases, such as policy changes, inflation adjustments, or enhanced focus on education's role in broader societal growth.</w:t>
      </w:r>
    </w:p>
    <w:p w14:paraId="65BA07E1" w14:textId="77777777" w:rsidR="006008D7" w:rsidRDefault="006008D7" w:rsidP="006008D7">
      <w:pPr>
        <w:ind w:left="720"/>
      </w:pPr>
    </w:p>
    <w:p w14:paraId="74A2DE34" w14:textId="6225F878" w:rsidR="00862105" w:rsidRDefault="00862105" w:rsidP="004A1D78">
      <w:pPr>
        <w:numPr>
          <w:ilvl w:val="0"/>
          <w:numId w:val="21"/>
        </w:numPr>
      </w:pPr>
      <w:r w:rsidRPr="006008D7">
        <w:rPr>
          <w:b/>
          <w:bCs/>
        </w:rPr>
        <w:t>Line Chart (Food Total by Year):</w:t>
      </w:r>
      <w:r w:rsidRPr="00833C2A">
        <w:t xml:space="preserve"> </w:t>
      </w:r>
    </w:p>
    <w:p w14:paraId="273357D8" w14:textId="77777777" w:rsidR="00862105" w:rsidRDefault="00862105" w:rsidP="00862105">
      <w:pPr>
        <w:ind w:left="720"/>
      </w:pPr>
      <w:r w:rsidRPr="00DE302E">
        <w:rPr>
          <w:noProof/>
        </w:rPr>
        <w:drawing>
          <wp:inline distT="0" distB="0" distL="0" distR="0" wp14:anchorId="29CECFB8" wp14:editId="7E03830F">
            <wp:extent cx="2636520" cy="1719231"/>
            <wp:effectExtent l="0" t="0" r="0" b="0"/>
            <wp:docPr id="7457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3572" name=""/>
                    <pic:cNvPicPr/>
                  </pic:nvPicPr>
                  <pic:blipFill>
                    <a:blip r:embed="rId17"/>
                    <a:stretch>
                      <a:fillRect/>
                    </a:stretch>
                  </pic:blipFill>
                  <pic:spPr>
                    <a:xfrm>
                      <a:off x="0" y="0"/>
                      <a:ext cx="2644233" cy="1724261"/>
                    </a:xfrm>
                    <a:prstGeom prst="rect">
                      <a:avLst/>
                    </a:prstGeom>
                  </pic:spPr>
                </pic:pic>
              </a:graphicData>
            </a:graphic>
          </wp:inline>
        </w:drawing>
      </w:r>
    </w:p>
    <w:p w14:paraId="33CDE8DC" w14:textId="03923251" w:rsidR="0059083F" w:rsidRPr="0059083F" w:rsidRDefault="0059083F" w:rsidP="0059083F">
      <w:pPr>
        <w:numPr>
          <w:ilvl w:val="0"/>
          <w:numId w:val="21"/>
        </w:numPr>
      </w:pPr>
      <w:r w:rsidRPr="0059083F">
        <w:t>This line chart, illustrates the year-wise average food expenditure from 2022 to 2024. It highlights trends in cost fluctuations over time, with the y-axis representing the average food total in millions (ranging from 11M to 14M) and the x-axis displaying the three years.</w:t>
      </w:r>
    </w:p>
    <w:p w14:paraId="7D6B1496" w14:textId="77777777" w:rsidR="0059083F" w:rsidRPr="0059083F" w:rsidRDefault="0059083F" w:rsidP="0059083F">
      <w:pPr>
        <w:numPr>
          <w:ilvl w:val="0"/>
          <w:numId w:val="21"/>
        </w:numPr>
        <w:rPr>
          <w:b/>
          <w:bCs/>
        </w:rPr>
      </w:pPr>
      <w:r w:rsidRPr="0059083F">
        <w:rPr>
          <w:b/>
          <w:bCs/>
        </w:rPr>
        <w:t>Key Observations:</w:t>
      </w:r>
    </w:p>
    <w:p w14:paraId="1001C870" w14:textId="77777777" w:rsidR="0059083F" w:rsidRPr="0059083F" w:rsidRDefault="0059083F" w:rsidP="0059083F">
      <w:pPr>
        <w:numPr>
          <w:ilvl w:val="0"/>
          <w:numId w:val="21"/>
        </w:numPr>
      </w:pPr>
      <w:r w:rsidRPr="0059083F">
        <w:rPr>
          <w:b/>
          <w:bCs/>
        </w:rPr>
        <w:lastRenderedPageBreak/>
        <w:t>2022</w:t>
      </w:r>
      <w:r w:rsidRPr="0059083F">
        <w:t xml:space="preserve">: The average food total starts at approximately </w:t>
      </w:r>
      <w:r w:rsidRPr="0059083F">
        <w:rPr>
          <w:b/>
          <w:bCs/>
        </w:rPr>
        <w:t>14M</w:t>
      </w:r>
      <w:r w:rsidRPr="0059083F">
        <w:t>, indicating relatively high expenditure compared to the following years.</w:t>
      </w:r>
    </w:p>
    <w:p w14:paraId="2F73339A" w14:textId="77777777" w:rsidR="0059083F" w:rsidRPr="0059083F" w:rsidRDefault="0059083F" w:rsidP="0059083F">
      <w:pPr>
        <w:numPr>
          <w:ilvl w:val="0"/>
          <w:numId w:val="21"/>
        </w:numPr>
      </w:pPr>
      <w:r w:rsidRPr="0059083F">
        <w:rPr>
          <w:b/>
          <w:bCs/>
        </w:rPr>
        <w:t>2023</w:t>
      </w:r>
      <w:r w:rsidRPr="0059083F">
        <w:t xml:space="preserve">: A significant decline is observed, with the average food total dropping to roughly </w:t>
      </w:r>
      <w:r w:rsidRPr="0059083F">
        <w:rPr>
          <w:b/>
          <w:bCs/>
        </w:rPr>
        <w:t>12M</w:t>
      </w:r>
      <w:r w:rsidRPr="0059083F">
        <w:t>, reflecting either a shift in spending priorities, cost optimization efforts, or external factors impacting food expenses.</w:t>
      </w:r>
    </w:p>
    <w:p w14:paraId="718F5649" w14:textId="77777777" w:rsidR="0059083F" w:rsidRPr="0059083F" w:rsidRDefault="0059083F" w:rsidP="0059083F">
      <w:pPr>
        <w:numPr>
          <w:ilvl w:val="0"/>
          <w:numId w:val="21"/>
        </w:numPr>
      </w:pPr>
      <w:r w:rsidRPr="0059083F">
        <w:rPr>
          <w:b/>
          <w:bCs/>
        </w:rPr>
        <w:t>2024</w:t>
      </w:r>
      <w:r w:rsidRPr="0059083F">
        <w:t xml:space="preserve">: The chart shows a rebound, as the average food total increases to approximately </w:t>
      </w:r>
      <w:r w:rsidRPr="0059083F">
        <w:rPr>
          <w:b/>
          <w:bCs/>
        </w:rPr>
        <w:t>13M</w:t>
      </w:r>
      <w:r w:rsidRPr="0059083F">
        <w:t>, suggesting a partial recovery in spending.</w:t>
      </w:r>
    </w:p>
    <w:p w14:paraId="22EE2954" w14:textId="77777777" w:rsidR="0059083F" w:rsidRPr="0059083F" w:rsidRDefault="0059083F" w:rsidP="0059083F">
      <w:pPr>
        <w:numPr>
          <w:ilvl w:val="0"/>
          <w:numId w:val="21"/>
        </w:numPr>
        <w:rPr>
          <w:b/>
          <w:bCs/>
        </w:rPr>
      </w:pPr>
      <w:r w:rsidRPr="0059083F">
        <w:rPr>
          <w:b/>
          <w:bCs/>
        </w:rPr>
        <w:t>Trend Analysis:</w:t>
      </w:r>
    </w:p>
    <w:p w14:paraId="1CD52580" w14:textId="77777777" w:rsidR="0059083F" w:rsidRDefault="0059083F" w:rsidP="0059083F">
      <w:pPr>
        <w:numPr>
          <w:ilvl w:val="0"/>
          <w:numId w:val="21"/>
        </w:numPr>
      </w:pPr>
      <w:r w:rsidRPr="0059083F">
        <w:t xml:space="preserve">The pattern depicted in the chart indicates a </w:t>
      </w:r>
      <w:r w:rsidRPr="0059083F">
        <w:rPr>
          <w:b/>
          <w:bCs/>
        </w:rPr>
        <w:t>U-shaped trajectory</w:t>
      </w:r>
      <w:r w:rsidRPr="0059083F">
        <w:t xml:space="preserve">, with food expenditure decreasing in 2023 before recovering in 2024. </w:t>
      </w:r>
    </w:p>
    <w:p w14:paraId="041781AB" w14:textId="77777777" w:rsidR="0059083F" w:rsidRDefault="0059083F" w:rsidP="0059083F">
      <w:pPr>
        <w:ind w:left="720"/>
      </w:pPr>
    </w:p>
    <w:p w14:paraId="45F36B4E" w14:textId="4C340E5A" w:rsidR="00862105" w:rsidRDefault="00862105" w:rsidP="0059083F">
      <w:pPr>
        <w:numPr>
          <w:ilvl w:val="0"/>
          <w:numId w:val="21"/>
        </w:numPr>
      </w:pPr>
      <w:r w:rsidRPr="00833C2A">
        <w:rPr>
          <w:b/>
          <w:bCs/>
        </w:rPr>
        <w:t>Area Chart (Livelihood Total by Year):</w:t>
      </w:r>
      <w:r w:rsidRPr="00833C2A">
        <w:t xml:space="preserve"> </w:t>
      </w:r>
    </w:p>
    <w:p w14:paraId="266870AB" w14:textId="77777777" w:rsidR="00862105" w:rsidRDefault="00862105" w:rsidP="00862105">
      <w:pPr>
        <w:ind w:left="720"/>
      </w:pPr>
      <w:r w:rsidRPr="00DE302E">
        <w:rPr>
          <w:noProof/>
        </w:rPr>
        <w:drawing>
          <wp:inline distT="0" distB="0" distL="0" distR="0" wp14:anchorId="67C7BFA5" wp14:editId="75101E0A">
            <wp:extent cx="3032760" cy="2214618"/>
            <wp:effectExtent l="0" t="0" r="0" b="0"/>
            <wp:docPr id="28909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93683" name=""/>
                    <pic:cNvPicPr/>
                  </pic:nvPicPr>
                  <pic:blipFill>
                    <a:blip r:embed="rId18"/>
                    <a:stretch>
                      <a:fillRect/>
                    </a:stretch>
                  </pic:blipFill>
                  <pic:spPr>
                    <a:xfrm>
                      <a:off x="0" y="0"/>
                      <a:ext cx="3040382" cy="2220184"/>
                    </a:xfrm>
                    <a:prstGeom prst="rect">
                      <a:avLst/>
                    </a:prstGeom>
                  </pic:spPr>
                </pic:pic>
              </a:graphicData>
            </a:graphic>
          </wp:inline>
        </w:drawing>
      </w:r>
    </w:p>
    <w:p w14:paraId="2092DD98" w14:textId="56AFD4CA" w:rsidR="00B05096" w:rsidRPr="00B05096" w:rsidRDefault="00B05096" w:rsidP="00B05096">
      <w:pPr>
        <w:numPr>
          <w:ilvl w:val="0"/>
          <w:numId w:val="21"/>
        </w:numPr>
      </w:pPr>
      <w:r w:rsidRPr="00B05096">
        <w:t xml:space="preserve">The bar </w:t>
      </w:r>
      <w:r w:rsidR="00857217">
        <w:t>chart</w:t>
      </w:r>
      <w:r w:rsidRPr="00B05096">
        <w:t xml:space="preserve"> illustrates the average livelihood costs across three consecutive years: 2022, 2023, and 2024. The y-axis represents the average livelihood total in millions, ranging from </w:t>
      </w:r>
      <w:r w:rsidRPr="00B05096">
        <w:rPr>
          <w:b/>
          <w:bCs/>
        </w:rPr>
        <w:t>0M</w:t>
      </w:r>
      <w:r w:rsidRPr="00B05096">
        <w:t xml:space="preserve"> to </w:t>
      </w:r>
      <w:r w:rsidRPr="00B05096">
        <w:rPr>
          <w:b/>
          <w:bCs/>
        </w:rPr>
        <w:t>20M</w:t>
      </w:r>
      <w:r w:rsidRPr="00B05096">
        <w:t>, while the x-axis marks the years.</w:t>
      </w:r>
    </w:p>
    <w:p w14:paraId="3D4BCF29" w14:textId="77777777" w:rsidR="00B05096" w:rsidRPr="00B05096" w:rsidRDefault="00B05096" w:rsidP="00B05096">
      <w:pPr>
        <w:numPr>
          <w:ilvl w:val="0"/>
          <w:numId w:val="21"/>
        </w:numPr>
        <w:rPr>
          <w:b/>
          <w:bCs/>
        </w:rPr>
      </w:pPr>
      <w:r w:rsidRPr="00B05096">
        <w:rPr>
          <w:b/>
          <w:bCs/>
        </w:rPr>
        <w:t>Analytical Insights:</w:t>
      </w:r>
    </w:p>
    <w:p w14:paraId="2057388E" w14:textId="77777777" w:rsidR="00B05096" w:rsidRPr="00B05096" w:rsidRDefault="00B05096" w:rsidP="00B05096">
      <w:pPr>
        <w:numPr>
          <w:ilvl w:val="0"/>
          <w:numId w:val="21"/>
        </w:numPr>
      </w:pPr>
      <w:r w:rsidRPr="00B05096">
        <w:rPr>
          <w:b/>
          <w:bCs/>
        </w:rPr>
        <w:t>2022</w:t>
      </w:r>
      <w:r w:rsidRPr="00B05096">
        <w:t xml:space="preserve">: This year records the </w:t>
      </w:r>
      <w:r w:rsidRPr="00B05096">
        <w:rPr>
          <w:b/>
          <w:bCs/>
        </w:rPr>
        <w:t>highest average livelihood total</w:t>
      </w:r>
      <w:r w:rsidRPr="00B05096">
        <w:t xml:space="preserve">, nearly reaching </w:t>
      </w:r>
      <w:r w:rsidRPr="00B05096">
        <w:rPr>
          <w:b/>
          <w:bCs/>
        </w:rPr>
        <w:t>20M</w:t>
      </w:r>
      <w:r w:rsidRPr="00B05096">
        <w:t>, suggesting significant investment or expenditure in livelihood-related initiatives.</w:t>
      </w:r>
    </w:p>
    <w:p w14:paraId="4D215F33" w14:textId="77777777" w:rsidR="00B05096" w:rsidRPr="00B05096" w:rsidRDefault="00B05096" w:rsidP="00B05096">
      <w:pPr>
        <w:numPr>
          <w:ilvl w:val="0"/>
          <w:numId w:val="21"/>
        </w:numPr>
      </w:pPr>
      <w:r w:rsidRPr="00B05096">
        <w:rPr>
          <w:b/>
          <w:bCs/>
        </w:rPr>
        <w:t>2023</w:t>
      </w:r>
      <w:r w:rsidRPr="00B05096">
        <w:t xml:space="preserve">: A sharp decline is observed, with the average livelihood total dropping to approximately </w:t>
      </w:r>
      <w:r w:rsidRPr="00B05096">
        <w:rPr>
          <w:b/>
          <w:bCs/>
        </w:rPr>
        <w:t>10M</w:t>
      </w:r>
      <w:r w:rsidRPr="00B05096">
        <w:t>, which may indicate a shift in priorities, external economic factors, or adjustments in budget allocation.</w:t>
      </w:r>
    </w:p>
    <w:p w14:paraId="144E0989" w14:textId="77777777" w:rsidR="00B05096" w:rsidRPr="00B05096" w:rsidRDefault="00B05096" w:rsidP="00B05096">
      <w:pPr>
        <w:numPr>
          <w:ilvl w:val="0"/>
          <w:numId w:val="21"/>
        </w:numPr>
      </w:pPr>
      <w:r w:rsidRPr="00B05096">
        <w:rPr>
          <w:b/>
          <w:bCs/>
        </w:rPr>
        <w:t>2024</w:t>
      </w:r>
      <w:r w:rsidRPr="00B05096">
        <w:t xml:space="preserve">: The average livelihood total remains relatively stable, staying slightly below </w:t>
      </w:r>
      <w:r w:rsidRPr="00B05096">
        <w:rPr>
          <w:b/>
          <w:bCs/>
        </w:rPr>
        <w:t>10M</w:t>
      </w:r>
      <w:r w:rsidRPr="00B05096">
        <w:t>, hinting at a period of consistency following the 2023 decrease.</w:t>
      </w:r>
    </w:p>
    <w:p w14:paraId="10D096BA" w14:textId="77777777" w:rsidR="00B05096" w:rsidRPr="00B05096" w:rsidRDefault="00B05096" w:rsidP="00B05096">
      <w:pPr>
        <w:numPr>
          <w:ilvl w:val="0"/>
          <w:numId w:val="21"/>
        </w:numPr>
        <w:rPr>
          <w:b/>
          <w:bCs/>
        </w:rPr>
      </w:pPr>
      <w:r w:rsidRPr="00B05096">
        <w:rPr>
          <w:b/>
          <w:bCs/>
        </w:rPr>
        <w:t>Observations:</w:t>
      </w:r>
    </w:p>
    <w:p w14:paraId="2D331BC3" w14:textId="789CA8D0" w:rsidR="00B05096" w:rsidRPr="00B05096" w:rsidRDefault="00B05096" w:rsidP="00AA5364">
      <w:pPr>
        <w:ind w:left="360"/>
      </w:pPr>
      <w:r w:rsidRPr="00B05096">
        <w:lastRenderedPageBreak/>
        <w:t>This chart reflects a clear downward trend between 2022 and 2023, followed by stabilization in 2024. The significant reduction in livelihood costs warrants further investigation into its underlying causes</w:t>
      </w:r>
      <w:r>
        <w:t xml:space="preserve"> </w:t>
      </w:r>
      <w:r w:rsidRPr="00B05096">
        <w:t>whether due to external influences, such as policy changes or economic shifts, or internal factors like organizational adjustments.</w:t>
      </w:r>
    </w:p>
    <w:p w14:paraId="7CDF87C0" w14:textId="77777777" w:rsidR="00B05096" w:rsidRDefault="00B05096" w:rsidP="00B05096">
      <w:pPr>
        <w:ind w:left="720"/>
      </w:pPr>
    </w:p>
    <w:p w14:paraId="0089B747" w14:textId="5A68ADC7" w:rsidR="00862105" w:rsidRDefault="00862105" w:rsidP="00862105">
      <w:pPr>
        <w:numPr>
          <w:ilvl w:val="0"/>
          <w:numId w:val="21"/>
        </w:numPr>
      </w:pPr>
      <w:r>
        <w:rPr>
          <w:b/>
          <w:bCs/>
        </w:rPr>
        <w:t xml:space="preserve">Clustered Column Chart (Health – Community &amp; Org. Total): </w:t>
      </w:r>
    </w:p>
    <w:p w14:paraId="3E48C5C2" w14:textId="77777777" w:rsidR="00862105" w:rsidRDefault="00862105" w:rsidP="00862105">
      <w:pPr>
        <w:ind w:left="360"/>
      </w:pPr>
      <w:r w:rsidRPr="00DE302E">
        <w:rPr>
          <w:noProof/>
        </w:rPr>
        <w:drawing>
          <wp:inline distT="0" distB="0" distL="0" distR="0" wp14:anchorId="065D6491" wp14:editId="47E7B6C3">
            <wp:extent cx="3078480" cy="2635865"/>
            <wp:effectExtent l="0" t="0" r="7620" b="0"/>
            <wp:docPr id="169735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55556" name=""/>
                    <pic:cNvPicPr/>
                  </pic:nvPicPr>
                  <pic:blipFill>
                    <a:blip r:embed="rId19"/>
                    <a:stretch>
                      <a:fillRect/>
                    </a:stretch>
                  </pic:blipFill>
                  <pic:spPr>
                    <a:xfrm>
                      <a:off x="0" y="0"/>
                      <a:ext cx="3090141" cy="2645849"/>
                    </a:xfrm>
                    <a:prstGeom prst="rect">
                      <a:avLst/>
                    </a:prstGeom>
                  </pic:spPr>
                </pic:pic>
              </a:graphicData>
            </a:graphic>
          </wp:inline>
        </w:drawing>
      </w:r>
    </w:p>
    <w:p w14:paraId="5C694947" w14:textId="0CFB414E" w:rsidR="00D73838" w:rsidRPr="00D73838" w:rsidRDefault="00D73838" w:rsidP="00D73838">
      <w:r w:rsidRPr="00D73838">
        <w:t>This bar chart, compares average yearly costs for two categories</w:t>
      </w:r>
      <w:r w:rsidR="00386544">
        <w:t xml:space="preserve"> </w:t>
      </w:r>
      <w:r w:rsidRPr="00D73838">
        <w:rPr>
          <w:b/>
          <w:bCs/>
        </w:rPr>
        <w:t>Health Total</w:t>
      </w:r>
      <w:r w:rsidRPr="00D73838">
        <w:t xml:space="preserve"> and </w:t>
      </w:r>
      <w:r w:rsidRPr="00D73838">
        <w:rPr>
          <w:b/>
          <w:bCs/>
        </w:rPr>
        <w:t>Community &amp; Organization Total</w:t>
      </w:r>
      <w:r w:rsidR="00386544">
        <w:t xml:space="preserve"> </w:t>
      </w:r>
      <w:r w:rsidRPr="00D73838">
        <w:t>over the years 2022, 2023, and 2024. Different shades of purple are used to visually distinguish between these categories, with darker purple representing Health Total and lighter purple representing Community &amp; Organization Total.</w:t>
      </w:r>
    </w:p>
    <w:p w14:paraId="4E2D0AF3" w14:textId="77777777" w:rsidR="00D73838" w:rsidRPr="00D73838" w:rsidRDefault="00D73838" w:rsidP="00D73838">
      <w:pPr>
        <w:rPr>
          <w:b/>
          <w:bCs/>
        </w:rPr>
      </w:pPr>
      <w:r w:rsidRPr="00D73838">
        <w:rPr>
          <w:b/>
          <w:bCs/>
        </w:rPr>
        <w:t>Analytical Insights:</w:t>
      </w:r>
    </w:p>
    <w:p w14:paraId="3109E42B" w14:textId="77777777" w:rsidR="00D73838" w:rsidRPr="00D73838" w:rsidRDefault="00D73838" w:rsidP="00D73838">
      <w:pPr>
        <w:numPr>
          <w:ilvl w:val="0"/>
          <w:numId w:val="31"/>
        </w:numPr>
      </w:pPr>
      <w:r w:rsidRPr="00D73838">
        <w:rPr>
          <w:b/>
          <w:bCs/>
        </w:rPr>
        <w:t>2022</w:t>
      </w:r>
      <w:r w:rsidRPr="00D73838">
        <w:t>:</w:t>
      </w:r>
    </w:p>
    <w:p w14:paraId="638321EE" w14:textId="77777777" w:rsidR="00D73838" w:rsidRPr="00D73838" w:rsidRDefault="00D73838" w:rsidP="00D73838">
      <w:pPr>
        <w:numPr>
          <w:ilvl w:val="1"/>
          <w:numId w:val="31"/>
        </w:numPr>
      </w:pPr>
      <w:r w:rsidRPr="00D73838">
        <w:t xml:space="preserve">The average Health Total is approximately </w:t>
      </w:r>
      <w:r w:rsidRPr="00D73838">
        <w:rPr>
          <w:b/>
          <w:bCs/>
        </w:rPr>
        <w:t>4 million</w:t>
      </w:r>
      <w:r w:rsidRPr="00D73838">
        <w:t xml:space="preserve">, while the Community &amp; Organization Total stands slightly higher at around </w:t>
      </w:r>
      <w:r w:rsidRPr="00D73838">
        <w:rPr>
          <w:b/>
          <w:bCs/>
        </w:rPr>
        <w:t>5 million</w:t>
      </w:r>
      <w:r w:rsidRPr="00D73838">
        <w:t>.</w:t>
      </w:r>
    </w:p>
    <w:p w14:paraId="38B99F46" w14:textId="77777777" w:rsidR="00D73838" w:rsidRPr="00D73838" w:rsidRDefault="00D73838" w:rsidP="00D73838">
      <w:pPr>
        <w:numPr>
          <w:ilvl w:val="1"/>
          <w:numId w:val="31"/>
        </w:numPr>
      </w:pPr>
      <w:r w:rsidRPr="00D73838">
        <w:t>This indicates a modest initial investment in both sectors.</w:t>
      </w:r>
    </w:p>
    <w:p w14:paraId="442004EA" w14:textId="77777777" w:rsidR="00D73838" w:rsidRPr="00D73838" w:rsidRDefault="00D73838" w:rsidP="00D73838">
      <w:pPr>
        <w:numPr>
          <w:ilvl w:val="0"/>
          <w:numId w:val="31"/>
        </w:numPr>
      </w:pPr>
      <w:r w:rsidRPr="00D73838">
        <w:rPr>
          <w:b/>
          <w:bCs/>
        </w:rPr>
        <w:t>2023</w:t>
      </w:r>
      <w:r w:rsidRPr="00D73838">
        <w:t>:</w:t>
      </w:r>
    </w:p>
    <w:p w14:paraId="1B695F99" w14:textId="77777777" w:rsidR="00D73838" w:rsidRPr="00D73838" w:rsidRDefault="00D73838" w:rsidP="00D73838">
      <w:pPr>
        <w:numPr>
          <w:ilvl w:val="1"/>
          <w:numId w:val="31"/>
        </w:numPr>
      </w:pPr>
      <w:r w:rsidRPr="00D73838">
        <w:t xml:space="preserve">Both categories exhibit growth, with Health Total increasing to about </w:t>
      </w:r>
      <w:r w:rsidRPr="00D73838">
        <w:rPr>
          <w:b/>
          <w:bCs/>
        </w:rPr>
        <w:t>5 million</w:t>
      </w:r>
      <w:r w:rsidRPr="00D73838">
        <w:t xml:space="preserve"> and Community &amp; Organization Total rising to nearly </w:t>
      </w:r>
      <w:r w:rsidRPr="00D73838">
        <w:rPr>
          <w:b/>
          <w:bCs/>
        </w:rPr>
        <w:t>6 million</w:t>
      </w:r>
      <w:r w:rsidRPr="00D73838">
        <w:t>.</w:t>
      </w:r>
    </w:p>
    <w:p w14:paraId="34853B36" w14:textId="77777777" w:rsidR="00D73838" w:rsidRPr="00D73838" w:rsidRDefault="00D73838" w:rsidP="00D73838">
      <w:pPr>
        <w:numPr>
          <w:ilvl w:val="1"/>
          <w:numId w:val="31"/>
        </w:numPr>
      </w:pPr>
      <w:r w:rsidRPr="00D73838">
        <w:t>The consistent upward trend suggests enhanced focus or expanded initiatives in these areas.</w:t>
      </w:r>
    </w:p>
    <w:p w14:paraId="763D5D28" w14:textId="77777777" w:rsidR="00D73838" w:rsidRPr="00D73838" w:rsidRDefault="00D73838" w:rsidP="00D73838">
      <w:pPr>
        <w:numPr>
          <w:ilvl w:val="0"/>
          <w:numId w:val="31"/>
        </w:numPr>
      </w:pPr>
      <w:r w:rsidRPr="00D73838">
        <w:rPr>
          <w:b/>
          <w:bCs/>
        </w:rPr>
        <w:t>2024</w:t>
      </w:r>
      <w:r w:rsidRPr="00D73838">
        <w:t>:</w:t>
      </w:r>
    </w:p>
    <w:p w14:paraId="2B2BBFDE" w14:textId="77777777" w:rsidR="00D73838" w:rsidRPr="00D73838" w:rsidRDefault="00D73838" w:rsidP="00D73838">
      <w:pPr>
        <w:numPr>
          <w:ilvl w:val="1"/>
          <w:numId w:val="31"/>
        </w:numPr>
      </w:pPr>
      <w:r w:rsidRPr="00D73838">
        <w:lastRenderedPageBreak/>
        <w:t xml:space="preserve">Health Total remains stable at approximately </w:t>
      </w:r>
      <w:r w:rsidRPr="00D73838">
        <w:rPr>
          <w:b/>
          <w:bCs/>
        </w:rPr>
        <w:t>5 million</w:t>
      </w:r>
      <w:r w:rsidRPr="00D73838">
        <w:t xml:space="preserve">, while Community &amp; Organization Total continues its upward trajectory, reaching around </w:t>
      </w:r>
      <w:r w:rsidRPr="00D73838">
        <w:rPr>
          <w:b/>
          <w:bCs/>
        </w:rPr>
        <w:t>6.5 million</w:t>
      </w:r>
      <w:r w:rsidRPr="00D73838">
        <w:t>.</w:t>
      </w:r>
    </w:p>
    <w:p w14:paraId="486C76B3" w14:textId="77777777" w:rsidR="00D73838" w:rsidRPr="00D73838" w:rsidRDefault="00D73838" w:rsidP="00D73838">
      <w:pPr>
        <w:numPr>
          <w:ilvl w:val="1"/>
          <w:numId w:val="31"/>
        </w:numPr>
      </w:pPr>
      <w:r w:rsidRPr="00D73838">
        <w:t>The growing expenditure in Community &amp; Organization Total may indicate a prioritization of community-driven programs and organizational development.</w:t>
      </w:r>
    </w:p>
    <w:p w14:paraId="04127CB5" w14:textId="77777777" w:rsidR="00D73838" w:rsidRPr="00AA5364" w:rsidRDefault="00D73838" w:rsidP="00AA5364">
      <w:pPr>
        <w:pStyle w:val="ListParagraph"/>
        <w:numPr>
          <w:ilvl w:val="0"/>
          <w:numId w:val="32"/>
        </w:numPr>
        <w:rPr>
          <w:b/>
          <w:bCs/>
        </w:rPr>
      </w:pPr>
      <w:r w:rsidRPr="00AA5364">
        <w:rPr>
          <w:b/>
          <w:bCs/>
        </w:rPr>
        <w:t>Observations:</w:t>
      </w:r>
    </w:p>
    <w:p w14:paraId="5446F0C3" w14:textId="080C9A09" w:rsidR="00D73838" w:rsidRDefault="00D73838" w:rsidP="00D73838">
      <w:r w:rsidRPr="00D73838">
        <w:t xml:space="preserve">The chart reveals steady growth in both categories over time, with Community &amp; Organization Total consistently surpassing Health Total in each year. This trend could be indicative of a strategic focus on community-oriented initiatives. </w:t>
      </w:r>
    </w:p>
    <w:p w14:paraId="0AFA2BEA" w14:textId="77777777" w:rsidR="00CB0989" w:rsidRPr="00D73838" w:rsidRDefault="00CB0989" w:rsidP="00D73838"/>
    <w:p w14:paraId="4ACA8DC6" w14:textId="5D62F735" w:rsidR="00862105" w:rsidRPr="00CB0989" w:rsidRDefault="00CB0989" w:rsidP="00CB0989">
      <w:pPr>
        <w:jc w:val="center"/>
        <w:rPr>
          <w:b/>
          <w:bCs/>
          <w:sz w:val="32"/>
          <w:szCs w:val="32"/>
        </w:rPr>
      </w:pPr>
      <w:r w:rsidRPr="00CB0989">
        <w:rPr>
          <w:b/>
          <w:bCs/>
          <w:sz w:val="32"/>
          <w:szCs w:val="32"/>
        </w:rPr>
        <w:t>Conclusion</w:t>
      </w:r>
    </w:p>
    <w:p w14:paraId="57ADB94C" w14:textId="77777777" w:rsidR="00862105" w:rsidRPr="00833C2A" w:rsidRDefault="00862105" w:rsidP="00862105">
      <w:pPr>
        <w:rPr>
          <w:b/>
          <w:bCs/>
        </w:rPr>
      </w:pPr>
      <w:r w:rsidRPr="00833C2A">
        <w:rPr>
          <w:b/>
          <w:bCs/>
        </w:rPr>
        <w:t>Conclusion</w:t>
      </w:r>
    </w:p>
    <w:p w14:paraId="3EAA86AE" w14:textId="3FAEAEED" w:rsidR="00862105" w:rsidRPr="00833C2A" w:rsidRDefault="00862105" w:rsidP="00862105">
      <w:r w:rsidRPr="00833C2A">
        <w:t xml:space="preserve">The dashboard follows best practices in data visualization and storytelling, ensuring that stakeholders can quickly interpret cost trends and category-based allocations. </w:t>
      </w:r>
      <w:r w:rsidR="00CB0989" w:rsidRPr="00833C2A">
        <w:t xml:space="preserve">The analysis reveals that education receives the highest allocation among categories. However, food-related spending showed a dip in 2023 before recovering in 2024. The livelihood category saw a downward trend in expenditure, indicating a potential shift in funding priorities. </w:t>
      </w:r>
      <w:r w:rsidR="00CB0989" w:rsidRPr="00833C2A">
        <w:br/>
        <w:t>By visualizing expenditures across categories, this dashboard helps stakeholders identify funding priorities, adjust budgets, and optimize resource allocation for maximum impact.</w:t>
      </w:r>
    </w:p>
    <w:p w14:paraId="2EFD9488" w14:textId="77777777" w:rsidR="00862105" w:rsidRPr="00833C2A" w:rsidRDefault="00862105" w:rsidP="00862105">
      <w:r w:rsidRPr="00833C2A">
        <w:rPr>
          <w:b/>
          <w:bCs/>
        </w:rPr>
        <w:t>References</w:t>
      </w:r>
      <w:r w:rsidRPr="00833C2A">
        <w:br/>
        <w:t xml:space="preserve">Few, S. (2017). </w:t>
      </w:r>
      <w:r w:rsidRPr="00833C2A">
        <w:rPr>
          <w:i/>
          <w:iCs/>
        </w:rPr>
        <w:t>Data visualization for success: A practical guide to telling compelling data stories.</w:t>
      </w:r>
      <w:r w:rsidRPr="00833C2A">
        <w:t xml:space="preserve"> Analytics Press.</w:t>
      </w:r>
      <w:r w:rsidRPr="00833C2A">
        <w:br/>
        <w:t xml:space="preserve">Tufte, E. R. (2001). </w:t>
      </w:r>
      <w:r w:rsidRPr="00833C2A">
        <w:rPr>
          <w:i/>
          <w:iCs/>
        </w:rPr>
        <w:t>The visual display of quantitative information.</w:t>
      </w:r>
      <w:r w:rsidRPr="00833C2A">
        <w:t xml:space="preserve"> Graphics Press.</w:t>
      </w:r>
      <w:r w:rsidRPr="00833C2A">
        <w:br/>
        <w:t xml:space="preserve">Cairo, A. (2019). </w:t>
      </w:r>
      <w:r w:rsidRPr="00833C2A">
        <w:rPr>
          <w:i/>
          <w:iCs/>
        </w:rPr>
        <w:t>How charts lie: Getting smarter about visual information.</w:t>
      </w:r>
      <w:r w:rsidRPr="00833C2A">
        <w:t xml:space="preserve"> W. W. Norton &amp; Company.</w:t>
      </w:r>
    </w:p>
    <w:p w14:paraId="5137FEA5" w14:textId="77777777" w:rsidR="00862105" w:rsidRDefault="00862105" w:rsidP="00862105"/>
    <w:p w14:paraId="6EA12B2E" w14:textId="77777777" w:rsidR="00166420" w:rsidRPr="00862105" w:rsidRDefault="00166420" w:rsidP="00862105">
      <w:pPr>
        <w:rPr>
          <w:rFonts w:cstheme="minorHAnsi"/>
          <w:b/>
          <w:bCs/>
          <w:sz w:val="22"/>
          <w:szCs w:val="22"/>
        </w:rPr>
      </w:pPr>
    </w:p>
    <w:sectPr w:rsidR="00166420" w:rsidRPr="00862105">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39E19" w14:textId="77777777" w:rsidR="00785EE3" w:rsidRDefault="00785EE3" w:rsidP="00785EE3">
      <w:pPr>
        <w:spacing w:after="0" w:line="240" w:lineRule="auto"/>
      </w:pPr>
      <w:r>
        <w:separator/>
      </w:r>
    </w:p>
  </w:endnote>
  <w:endnote w:type="continuationSeparator" w:id="0">
    <w:p w14:paraId="716DE7BD" w14:textId="77777777" w:rsidR="00785EE3" w:rsidRDefault="00785EE3" w:rsidP="0078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CAFC5" w14:textId="77777777" w:rsidR="00785EE3" w:rsidRDefault="00785EE3" w:rsidP="00785EE3">
      <w:pPr>
        <w:spacing w:after="0" w:line="240" w:lineRule="auto"/>
      </w:pPr>
      <w:r>
        <w:separator/>
      </w:r>
    </w:p>
  </w:footnote>
  <w:footnote w:type="continuationSeparator" w:id="0">
    <w:p w14:paraId="519E5196" w14:textId="77777777" w:rsidR="00785EE3" w:rsidRDefault="00785EE3" w:rsidP="00785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5162267"/>
      <w:docPartObj>
        <w:docPartGallery w:val="Page Numbers (Top of Page)"/>
        <w:docPartUnique/>
      </w:docPartObj>
    </w:sdtPr>
    <w:sdtEndPr>
      <w:rPr>
        <w:noProof/>
      </w:rPr>
    </w:sdtEndPr>
    <w:sdtContent>
      <w:p w14:paraId="2EA731FD" w14:textId="38E39DA9" w:rsidR="00A769D0" w:rsidRDefault="000F4742" w:rsidP="00A769D0">
        <w:pPr>
          <w:pStyle w:val="Header"/>
        </w:pPr>
        <w:r w:rsidRPr="000F4742">
          <w:rPr>
            <w:sz w:val="18"/>
            <w:szCs w:val="18"/>
          </w:rPr>
          <w:t>Report on Partner &amp; Year wise Analysis of Financial Data</w:t>
        </w:r>
        <w:r w:rsidR="00A769D0">
          <w:tab/>
        </w:r>
        <w:r w:rsidR="00A769D0">
          <w:tab/>
        </w:r>
        <w:r w:rsidR="00A769D0" w:rsidRPr="000F4742">
          <w:rPr>
            <w:sz w:val="20"/>
            <w:szCs w:val="20"/>
          </w:rPr>
          <w:fldChar w:fldCharType="begin"/>
        </w:r>
        <w:r w:rsidR="00A769D0" w:rsidRPr="000F4742">
          <w:rPr>
            <w:sz w:val="20"/>
            <w:szCs w:val="20"/>
          </w:rPr>
          <w:instrText xml:space="preserve"> PAGE   \* MERGEFORMAT </w:instrText>
        </w:r>
        <w:r w:rsidR="00A769D0" w:rsidRPr="000F4742">
          <w:rPr>
            <w:sz w:val="20"/>
            <w:szCs w:val="20"/>
          </w:rPr>
          <w:fldChar w:fldCharType="separate"/>
        </w:r>
        <w:r w:rsidR="00A769D0" w:rsidRPr="000F4742">
          <w:rPr>
            <w:noProof/>
            <w:sz w:val="20"/>
            <w:szCs w:val="20"/>
          </w:rPr>
          <w:t>2</w:t>
        </w:r>
        <w:r w:rsidR="00A769D0" w:rsidRPr="000F4742">
          <w:rPr>
            <w:noProof/>
            <w:sz w:val="20"/>
            <w:szCs w:val="20"/>
          </w:rPr>
          <w:fldChar w:fldCharType="end"/>
        </w:r>
      </w:p>
    </w:sdtContent>
  </w:sdt>
  <w:p w14:paraId="5985C1F5" w14:textId="77777777" w:rsidR="00785EE3" w:rsidRDefault="00785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85D"/>
    <w:multiLevelType w:val="multilevel"/>
    <w:tmpl w:val="1B0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A68"/>
    <w:multiLevelType w:val="multilevel"/>
    <w:tmpl w:val="117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3CEE"/>
    <w:multiLevelType w:val="multilevel"/>
    <w:tmpl w:val="79E81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7707A"/>
    <w:multiLevelType w:val="multilevel"/>
    <w:tmpl w:val="AF3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D6897"/>
    <w:multiLevelType w:val="multilevel"/>
    <w:tmpl w:val="7D4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00C21"/>
    <w:multiLevelType w:val="multilevel"/>
    <w:tmpl w:val="196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74658"/>
    <w:multiLevelType w:val="hybridMultilevel"/>
    <w:tmpl w:val="BFBC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A1247"/>
    <w:multiLevelType w:val="multilevel"/>
    <w:tmpl w:val="E57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92198"/>
    <w:multiLevelType w:val="multilevel"/>
    <w:tmpl w:val="12E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B0462"/>
    <w:multiLevelType w:val="multilevel"/>
    <w:tmpl w:val="8C2A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55A35"/>
    <w:multiLevelType w:val="multilevel"/>
    <w:tmpl w:val="C97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72AC2"/>
    <w:multiLevelType w:val="multilevel"/>
    <w:tmpl w:val="21F62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B64FF"/>
    <w:multiLevelType w:val="hybridMultilevel"/>
    <w:tmpl w:val="923EF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6141F"/>
    <w:multiLevelType w:val="hybridMultilevel"/>
    <w:tmpl w:val="3626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5C1570"/>
    <w:multiLevelType w:val="multilevel"/>
    <w:tmpl w:val="16D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B1E55"/>
    <w:multiLevelType w:val="hybridMultilevel"/>
    <w:tmpl w:val="C0BEB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0A3229"/>
    <w:multiLevelType w:val="multilevel"/>
    <w:tmpl w:val="FE26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15327"/>
    <w:multiLevelType w:val="multilevel"/>
    <w:tmpl w:val="9BB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F4E75"/>
    <w:multiLevelType w:val="hybridMultilevel"/>
    <w:tmpl w:val="71FEA048"/>
    <w:lvl w:ilvl="0" w:tplc="08090001">
      <w:start w:val="1"/>
      <w:numFmt w:val="bullet"/>
      <w:lvlText w:val=""/>
      <w:lvlJc w:val="left"/>
      <w:pPr>
        <w:ind w:left="720" w:hanging="360"/>
      </w:pPr>
      <w:rPr>
        <w:rFonts w:ascii="Symbol" w:hAnsi="Symbol" w:hint="default"/>
      </w:rPr>
    </w:lvl>
    <w:lvl w:ilvl="1" w:tplc="8068A256">
      <w:start w:val="5"/>
      <w:numFmt w:val="bullet"/>
      <w:lvlText w:val="•"/>
      <w:lvlJc w:val="left"/>
      <w:pPr>
        <w:ind w:left="1800" w:hanging="72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87673E"/>
    <w:multiLevelType w:val="multilevel"/>
    <w:tmpl w:val="08F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91CCE"/>
    <w:multiLevelType w:val="hybridMultilevel"/>
    <w:tmpl w:val="63DC6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AC693A"/>
    <w:multiLevelType w:val="multilevel"/>
    <w:tmpl w:val="4570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64C0E"/>
    <w:multiLevelType w:val="multilevel"/>
    <w:tmpl w:val="0BD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C7B81"/>
    <w:multiLevelType w:val="multilevel"/>
    <w:tmpl w:val="C66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95BFC"/>
    <w:multiLevelType w:val="hybridMultilevel"/>
    <w:tmpl w:val="39665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0B0C71"/>
    <w:multiLevelType w:val="multilevel"/>
    <w:tmpl w:val="1E5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F6D42"/>
    <w:multiLevelType w:val="multilevel"/>
    <w:tmpl w:val="9BB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0513D"/>
    <w:multiLevelType w:val="hybridMultilevel"/>
    <w:tmpl w:val="A78E7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9C162D"/>
    <w:multiLevelType w:val="hybridMultilevel"/>
    <w:tmpl w:val="D3FE3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9F2496B"/>
    <w:multiLevelType w:val="hybridMultilevel"/>
    <w:tmpl w:val="C3867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C85057"/>
    <w:multiLevelType w:val="multilevel"/>
    <w:tmpl w:val="9B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57C55"/>
    <w:multiLevelType w:val="multilevel"/>
    <w:tmpl w:val="45B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621129">
    <w:abstractNumId w:val="19"/>
  </w:num>
  <w:num w:numId="2" w16cid:durableId="1654523854">
    <w:abstractNumId w:val="26"/>
  </w:num>
  <w:num w:numId="3" w16cid:durableId="659508229">
    <w:abstractNumId w:val="8"/>
  </w:num>
  <w:num w:numId="4" w16cid:durableId="416906921">
    <w:abstractNumId w:val="4"/>
  </w:num>
  <w:num w:numId="5" w16cid:durableId="1446775820">
    <w:abstractNumId w:val="0"/>
  </w:num>
  <w:num w:numId="6" w16cid:durableId="1006251663">
    <w:abstractNumId w:val="22"/>
  </w:num>
  <w:num w:numId="7" w16cid:durableId="731738465">
    <w:abstractNumId w:val="25"/>
  </w:num>
  <w:num w:numId="8" w16cid:durableId="1594165819">
    <w:abstractNumId w:val="23"/>
  </w:num>
  <w:num w:numId="9" w16cid:durableId="581986832">
    <w:abstractNumId w:val="17"/>
  </w:num>
  <w:num w:numId="10" w16cid:durableId="800150364">
    <w:abstractNumId w:val="12"/>
  </w:num>
  <w:num w:numId="11" w16cid:durableId="1473058480">
    <w:abstractNumId w:val="6"/>
  </w:num>
  <w:num w:numId="12" w16cid:durableId="1101532975">
    <w:abstractNumId w:val="18"/>
  </w:num>
  <w:num w:numId="13" w16cid:durableId="416440425">
    <w:abstractNumId w:val="29"/>
  </w:num>
  <w:num w:numId="14" w16cid:durableId="811020215">
    <w:abstractNumId w:val="13"/>
  </w:num>
  <w:num w:numId="15" w16cid:durableId="1149327540">
    <w:abstractNumId w:val="15"/>
  </w:num>
  <w:num w:numId="16" w16cid:durableId="36127689">
    <w:abstractNumId w:val="20"/>
  </w:num>
  <w:num w:numId="17" w16cid:durableId="987979637">
    <w:abstractNumId w:val="24"/>
  </w:num>
  <w:num w:numId="18" w16cid:durableId="541408545">
    <w:abstractNumId w:val="27"/>
  </w:num>
  <w:num w:numId="19" w16cid:durableId="252859998">
    <w:abstractNumId w:val="30"/>
  </w:num>
  <w:num w:numId="20" w16cid:durableId="612789019">
    <w:abstractNumId w:val="10"/>
  </w:num>
  <w:num w:numId="21" w16cid:durableId="1435204390">
    <w:abstractNumId w:val="16"/>
  </w:num>
  <w:num w:numId="22" w16cid:durableId="1479683012">
    <w:abstractNumId w:val="14"/>
  </w:num>
  <w:num w:numId="23" w16cid:durableId="643202316">
    <w:abstractNumId w:val="11"/>
  </w:num>
  <w:num w:numId="24" w16cid:durableId="1199313333">
    <w:abstractNumId w:val="1"/>
  </w:num>
  <w:num w:numId="25" w16cid:durableId="607663822">
    <w:abstractNumId w:val="5"/>
  </w:num>
  <w:num w:numId="26" w16cid:durableId="239802492">
    <w:abstractNumId w:val="2"/>
  </w:num>
  <w:num w:numId="27" w16cid:durableId="500580463">
    <w:abstractNumId w:val="31"/>
  </w:num>
  <w:num w:numId="28" w16cid:durableId="1652444548">
    <w:abstractNumId w:val="3"/>
  </w:num>
  <w:num w:numId="29" w16cid:durableId="1522696165">
    <w:abstractNumId w:val="7"/>
  </w:num>
  <w:num w:numId="30" w16cid:durableId="1931967725">
    <w:abstractNumId w:val="9"/>
  </w:num>
  <w:num w:numId="31" w16cid:durableId="1160854639">
    <w:abstractNumId w:val="21"/>
  </w:num>
  <w:num w:numId="32" w16cid:durableId="18896845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7D"/>
    <w:rsid w:val="000F4742"/>
    <w:rsid w:val="00126C45"/>
    <w:rsid w:val="00146A97"/>
    <w:rsid w:val="00166420"/>
    <w:rsid w:val="001D1EBD"/>
    <w:rsid w:val="00215529"/>
    <w:rsid w:val="0031386C"/>
    <w:rsid w:val="0034486B"/>
    <w:rsid w:val="00357026"/>
    <w:rsid w:val="00386544"/>
    <w:rsid w:val="00430644"/>
    <w:rsid w:val="00462CBA"/>
    <w:rsid w:val="0059083F"/>
    <w:rsid w:val="005A6395"/>
    <w:rsid w:val="005A64D2"/>
    <w:rsid w:val="006008D7"/>
    <w:rsid w:val="007440ED"/>
    <w:rsid w:val="00785EE3"/>
    <w:rsid w:val="00797CEE"/>
    <w:rsid w:val="00830953"/>
    <w:rsid w:val="008321D5"/>
    <w:rsid w:val="00834C9E"/>
    <w:rsid w:val="008551E2"/>
    <w:rsid w:val="00857217"/>
    <w:rsid w:val="00862105"/>
    <w:rsid w:val="008D30FC"/>
    <w:rsid w:val="00963DCB"/>
    <w:rsid w:val="009707B7"/>
    <w:rsid w:val="009E1341"/>
    <w:rsid w:val="009E58D1"/>
    <w:rsid w:val="00A769D0"/>
    <w:rsid w:val="00AA5364"/>
    <w:rsid w:val="00B05096"/>
    <w:rsid w:val="00B24A7D"/>
    <w:rsid w:val="00B43ED9"/>
    <w:rsid w:val="00BD3E01"/>
    <w:rsid w:val="00CB0989"/>
    <w:rsid w:val="00D73838"/>
    <w:rsid w:val="00E82A2B"/>
    <w:rsid w:val="00F21CDC"/>
    <w:rsid w:val="00F6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6EFC"/>
  <w15:chartTrackingRefBased/>
  <w15:docId w15:val="{C4052B3F-4A11-4696-8277-9E74FBED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45"/>
  </w:style>
  <w:style w:type="paragraph" w:styleId="Heading1">
    <w:name w:val="heading 1"/>
    <w:basedOn w:val="Normal"/>
    <w:next w:val="Normal"/>
    <w:link w:val="Heading1Char"/>
    <w:uiPriority w:val="9"/>
    <w:qFormat/>
    <w:rsid w:val="00B24A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A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A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A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A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A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A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A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A7D"/>
    <w:rPr>
      <w:rFonts w:eastAsiaTheme="majorEastAsia" w:cstheme="majorBidi"/>
      <w:color w:val="272727" w:themeColor="text1" w:themeTint="D8"/>
    </w:rPr>
  </w:style>
  <w:style w:type="paragraph" w:styleId="Title">
    <w:name w:val="Title"/>
    <w:basedOn w:val="Normal"/>
    <w:next w:val="Normal"/>
    <w:link w:val="TitleChar"/>
    <w:uiPriority w:val="10"/>
    <w:qFormat/>
    <w:rsid w:val="00B24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A7D"/>
    <w:pPr>
      <w:spacing w:before="160"/>
      <w:jc w:val="center"/>
    </w:pPr>
    <w:rPr>
      <w:i/>
      <w:iCs/>
      <w:color w:val="404040" w:themeColor="text1" w:themeTint="BF"/>
    </w:rPr>
  </w:style>
  <w:style w:type="character" w:customStyle="1" w:styleId="QuoteChar">
    <w:name w:val="Quote Char"/>
    <w:basedOn w:val="DefaultParagraphFont"/>
    <w:link w:val="Quote"/>
    <w:uiPriority w:val="29"/>
    <w:rsid w:val="00B24A7D"/>
    <w:rPr>
      <w:i/>
      <w:iCs/>
      <w:color w:val="404040" w:themeColor="text1" w:themeTint="BF"/>
    </w:rPr>
  </w:style>
  <w:style w:type="paragraph" w:styleId="ListParagraph">
    <w:name w:val="List Paragraph"/>
    <w:basedOn w:val="Normal"/>
    <w:uiPriority w:val="34"/>
    <w:qFormat/>
    <w:rsid w:val="00B24A7D"/>
    <w:pPr>
      <w:ind w:left="720"/>
      <w:contextualSpacing/>
    </w:pPr>
  </w:style>
  <w:style w:type="character" w:styleId="IntenseEmphasis">
    <w:name w:val="Intense Emphasis"/>
    <w:basedOn w:val="DefaultParagraphFont"/>
    <w:uiPriority w:val="21"/>
    <w:qFormat/>
    <w:rsid w:val="00B24A7D"/>
    <w:rPr>
      <w:i/>
      <w:iCs/>
      <w:color w:val="2F5496" w:themeColor="accent1" w:themeShade="BF"/>
    </w:rPr>
  </w:style>
  <w:style w:type="paragraph" w:styleId="IntenseQuote">
    <w:name w:val="Intense Quote"/>
    <w:basedOn w:val="Normal"/>
    <w:next w:val="Normal"/>
    <w:link w:val="IntenseQuoteChar"/>
    <w:uiPriority w:val="30"/>
    <w:qFormat/>
    <w:rsid w:val="00B24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A7D"/>
    <w:rPr>
      <w:i/>
      <w:iCs/>
      <w:color w:val="2F5496" w:themeColor="accent1" w:themeShade="BF"/>
    </w:rPr>
  </w:style>
  <w:style w:type="character" w:styleId="IntenseReference">
    <w:name w:val="Intense Reference"/>
    <w:basedOn w:val="DefaultParagraphFont"/>
    <w:uiPriority w:val="32"/>
    <w:qFormat/>
    <w:rsid w:val="00B24A7D"/>
    <w:rPr>
      <w:b/>
      <w:bCs/>
      <w:smallCaps/>
      <w:color w:val="2F5496" w:themeColor="accent1" w:themeShade="BF"/>
      <w:spacing w:val="5"/>
    </w:rPr>
  </w:style>
  <w:style w:type="paragraph" w:styleId="Header">
    <w:name w:val="header"/>
    <w:basedOn w:val="Normal"/>
    <w:link w:val="HeaderChar"/>
    <w:uiPriority w:val="99"/>
    <w:unhideWhenUsed/>
    <w:rsid w:val="00785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E3"/>
  </w:style>
  <w:style w:type="paragraph" w:styleId="Footer">
    <w:name w:val="footer"/>
    <w:basedOn w:val="Normal"/>
    <w:link w:val="FooterChar"/>
    <w:uiPriority w:val="99"/>
    <w:unhideWhenUsed/>
    <w:rsid w:val="00785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EE3"/>
  </w:style>
  <w:style w:type="paragraph" w:styleId="NormalWeb">
    <w:name w:val="Normal (Web)"/>
    <w:basedOn w:val="Normal"/>
    <w:uiPriority w:val="99"/>
    <w:unhideWhenUsed/>
    <w:rsid w:val="00834C9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34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7391">
      <w:bodyDiv w:val="1"/>
      <w:marLeft w:val="0"/>
      <w:marRight w:val="0"/>
      <w:marTop w:val="0"/>
      <w:marBottom w:val="0"/>
      <w:divBdr>
        <w:top w:val="none" w:sz="0" w:space="0" w:color="auto"/>
        <w:left w:val="none" w:sz="0" w:space="0" w:color="auto"/>
        <w:bottom w:val="none" w:sz="0" w:space="0" w:color="auto"/>
        <w:right w:val="none" w:sz="0" w:space="0" w:color="auto"/>
      </w:divBdr>
    </w:div>
    <w:div w:id="96101085">
      <w:bodyDiv w:val="1"/>
      <w:marLeft w:val="0"/>
      <w:marRight w:val="0"/>
      <w:marTop w:val="0"/>
      <w:marBottom w:val="0"/>
      <w:divBdr>
        <w:top w:val="none" w:sz="0" w:space="0" w:color="auto"/>
        <w:left w:val="none" w:sz="0" w:space="0" w:color="auto"/>
        <w:bottom w:val="none" w:sz="0" w:space="0" w:color="auto"/>
        <w:right w:val="none" w:sz="0" w:space="0" w:color="auto"/>
      </w:divBdr>
    </w:div>
    <w:div w:id="114061245">
      <w:bodyDiv w:val="1"/>
      <w:marLeft w:val="0"/>
      <w:marRight w:val="0"/>
      <w:marTop w:val="0"/>
      <w:marBottom w:val="0"/>
      <w:divBdr>
        <w:top w:val="none" w:sz="0" w:space="0" w:color="auto"/>
        <w:left w:val="none" w:sz="0" w:space="0" w:color="auto"/>
        <w:bottom w:val="none" w:sz="0" w:space="0" w:color="auto"/>
        <w:right w:val="none" w:sz="0" w:space="0" w:color="auto"/>
      </w:divBdr>
    </w:div>
    <w:div w:id="128934752">
      <w:bodyDiv w:val="1"/>
      <w:marLeft w:val="0"/>
      <w:marRight w:val="0"/>
      <w:marTop w:val="0"/>
      <w:marBottom w:val="0"/>
      <w:divBdr>
        <w:top w:val="none" w:sz="0" w:space="0" w:color="auto"/>
        <w:left w:val="none" w:sz="0" w:space="0" w:color="auto"/>
        <w:bottom w:val="none" w:sz="0" w:space="0" w:color="auto"/>
        <w:right w:val="none" w:sz="0" w:space="0" w:color="auto"/>
      </w:divBdr>
    </w:div>
    <w:div w:id="238948391">
      <w:bodyDiv w:val="1"/>
      <w:marLeft w:val="0"/>
      <w:marRight w:val="0"/>
      <w:marTop w:val="0"/>
      <w:marBottom w:val="0"/>
      <w:divBdr>
        <w:top w:val="none" w:sz="0" w:space="0" w:color="auto"/>
        <w:left w:val="none" w:sz="0" w:space="0" w:color="auto"/>
        <w:bottom w:val="none" w:sz="0" w:space="0" w:color="auto"/>
        <w:right w:val="none" w:sz="0" w:space="0" w:color="auto"/>
      </w:divBdr>
    </w:div>
    <w:div w:id="255483813">
      <w:bodyDiv w:val="1"/>
      <w:marLeft w:val="0"/>
      <w:marRight w:val="0"/>
      <w:marTop w:val="0"/>
      <w:marBottom w:val="0"/>
      <w:divBdr>
        <w:top w:val="none" w:sz="0" w:space="0" w:color="auto"/>
        <w:left w:val="none" w:sz="0" w:space="0" w:color="auto"/>
        <w:bottom w:val="none" w:sz="0" w:space="0" w:color="auto"/>
        <w:right w:val="none" w:sz="0" w:space="0" w:color="auto"/>
      </w:divBdr>
    </w:div>
    <w:div w:id="503324657">
      <w:bodyDiv w:val="1"/>
      <w:marLeft w:val="0"/>
      <w:marRight w:val="0"/>
      <w:marTop w:val="0"/>
      <w:marBottom w:val="0"/>
      <w:divBdr>
        <w:top w:val="none" w:sz="0" w:space="0" w:color="auto"/>
        <w:left w:val="none" w:sz="0" w:space="0" w:color="auto"/>
        <w:bottom w:val="none" w:sz="0" w:space="0" w:color="auto"/>
        <w:right w:val="none" w:sz="0" w:space="0" w:color="auto"/>
      </w:divBdr>
    </w:div>
    <w:div w:id="686254859">
      <w:bodyDiv w:val="1"/>
      <w:marLeft w:val="0"/>
      <w:marRight w:val="0"/>
      <w:marTop w:val="0"/>
      <w:marBottom w:val="0"/>
      <w:divBdr>
        <w:top w:val="none" w:sz="0" w:space="0" w:color="auto"/>
        <w:left w:val="none" w:sz="0" w:space="0" w:color="auto"/>
        <w:bottom w:val="none" w:sz="0" w:space="0" w:color="auto"/>
        <w:right w:val="none" w:sz="0" w:space="0" w:color="auto"/>
      </w:divBdr>
    </w:div>
    <w:div w:id="716315023">
      <w:bodyDiv w:val="1"/>
      <w:marLeft w:val="0"/>
      <w:marRight w:val="0"/>
      <w:marTop w:val="0"/>
      <w:marBottom w:val="0"/>
      <w:divBdr>
        <w:top w:val="none" w:sz="0" w:space="0" w:color="auto"/>
        <w:left w:val="none" w:sz="0" w:space="0" w:color="auto"/>
        <w:bottom w:val="none" w:sz="0" w:space="0" w:color="auto"/>
        <w:right w:val="none" w:sz="0" w:space="0" w:color="auto"/>
      </w:divBdr>
    </w:div>
    <w:div w:id="721490020">
      <w:bodyDiv w:val="1"/>
      <w:marLeft w:val="0"/>
      <w:marRight w:val="0"/>
      <w:marTop w:val="0"/>
      <w:marBottom w:val="0"/>
      <w:divBdr>
        <w:top w:val="none" w:sz="0" w:space="0" w:color="auto"/>
        <w:left w:val="none" w:sz="0" w:space="0" w:color="auto"/>
        <w:bottom w:val="none" w:sz="0" w:space="0" w:color="auto"/>
        <w:right w:val="none" w:sz="0" w:space="0" w:color="auto"/>
      </w:divBdr>
    </w:div>
    <w:div w:id="815536543">
      <w:bodyDiv w:val="1"/>
      <w:marLeft w:val="0"/>
      <w:marRight w:val="0"/>
      <w:marTop w:val="0"/>
      <w:marBottom w:val="0"/>
      <w:divBdr>
        <w:top w:val="none" w:sz="0" w:space="0" w:color="auto"/>
        <w:left w:val="none" w:sz="0" w:space="0" w:color="auto"/>
        <w:bottom w:val="none" w:sz="0" w:space="0" w:color="auto"/>
        <w:right w:val="none" w:sz="0" w:space="0" w:color="auto"/>
      </w:divBdr>
    </w:div>
    <w:div w:id="890115257">
      <w:bodyDiv w:val="1"/>
      <w:marLeft w:val="0"/>
      <w:marRight w:val="0"/>
      <w:marTop w:val="0"/>
      <w:marBottom w:val="0"/>
      <w:divBdr>
        <w:top w:val="none" w:sz="0" w:space="0" w:color="auto"/>
        <w:left w:val="none" w:sz="0" w:space="0" w:color="auto"/>
        <w:bottom w:val="none" w:sz="0" w:space="0" w:color="auto"/>
        <w:right w:val="none" w:sz="0" w:space="0" w:color="auto"/>
      </w:divBdr>
    </w:div>
    <w:div w:id="912734762">
      <w:bodyDiv w:val="1"/>
      <w:marLeft w:val="0"/>
      <w:marRight w:val="0"/>
      <w:marTop w:val="0"/>
      <w:marBottom w:val="0"/>
      <w:divBdr>
        <w:top w:val="none" w:sz="0" w:space="0" w:color="auto"/>
        <w:left w:val="none" w:sz="0" w:space="0" w:color="auto"/>
        <w:bottom w:val="none" w:sz="0" w:space="0" w:color="auto"/>
        <w:right w:val="none" w:sz="0" w:space="0" w:color="auto"/>
      </w:divBdr>
    </w:div>
    <w:div w:id="965701380">
      <w:bodyDiv w:val="1"/>
      <w:marLeft w:val="0"/>
      <w:marRight w:val="0"/>
      <w:marTop w:val="0"/>
      <w:marBottom w:val="0"/>
      <w:divBdr>
        <w:top w:val="none" w:sz="0" w:space="0" w:color="auto"/>
        <w:left w:val="none" w:sz="0" w:space="0" w:color="auto"/>
        <w:bottom w:val="none" w:sz="0" w:space="0" w:color="auto"/>
        <w:right w:val="none" w:sz="0" w:space="0" w:color="auto"/>
      </w:divBdr>
    </w:div>
    <w:div w:id="1297906822">
      <w:bodyDiv w:val="1"/>
      <w:marLeft w:val="0"/>
      <w:marRight w:val="0"/>
      <w:marTop w:val="0"/>
      <w:marBottom w:val="0"/>
      <w:divBdr>
        <w:top w:val="none" w:sz="0" w:space="0" w:color="auto"/>
        <w:left w:val="none" w:sz="0" w:space="0" w:color="auto"/>
        <w:bottom w:val="none" w:sz="0" w:space="0" w:color="auto"/>
        <w:right w:val="none" w:sz="0" w:space="0" w:color="auto"/>
      </w:divBdr>
    </w:div>
    <w:div w:id="1346664240">
      <w:bodyDiv w:val="1"/>
      <w:marLeft w:val="0"/>
      <w:marRight w:val="0"/>
      <w:marTop w:val="0"/>
      <w:marBottom w:val="0"/>
      <w:divBdr>
        <w:top w:val="none" w:sz="0" w:space="0" w:color="auto"/>
        <w:left w:val="none" w:sz="0" w:space="0" w:color="auto"/>
        <w:bottom w:val="none" w:sz="0" w:space="0" w:color="auto"/>
        <w:right w:val="none" w:sz="0" w:space="0" w:color="auto"/>
      </w:divBdr>
    </w:div>
    <w:div w:id="1448819040">
      <w:bodyDiv w:val="1"/>
      <w:marLeft w:val="0"/>
      <w:marRight w:val="0"/>
      <w:marTop w:val="0"/>
      <w:marBottom w:val="0"/>
      <w:divBdr>
        <w:top w:val="none" w:sz="0" w:space="0" w:color="auto"/>
        <w:left w:val="none" w:sz="0" w:space="0" w:color="auto"/>
        <w:bottom w:val="none" w:sz="0" w:space="0" w:color="auto"/>
        <w:right w:val="none" w:sz="0" w:space="0" w:color="auto"/>
      </w:divBdr>
    </w:div>
    <w:div w:id="1602102261">
      <w:bodyDiv w:val="1"/>
      <w:marLeft w:val="0"/>
      <w:marRight w:val="0"/>
      <w:marTop w:val="0"/>
      <w:marBottom w:val="0"/>
      <w:divBdr>
        <w:top w:val="none" w:sz="0" w:space="0" w:color="auto"/>
        <w:left w:val="none" w:sz="0" w:space="0" w:color="auto"/>
        <w:bottom w:val="none" w:sz="0" w:space="0" w:color="auto"/>
        <w:right w:val="none" w:sz="0" w:space="0" w:color="auto"/>
      </w:divBdr>
    </w:div>
    <w:div w:id="1614020871">
      <w:bodyDiv w:val="1"/>
      <w:marLeft w:val="0"/>
      <w:marRight w:val="0"/>
      <w:marTop w:val="0"/>
      <w:marBottom w:val="0"/>
      <w:divBdr>
        <w:top w:val="none" w:sz="0" w:space="0" w:color="auto"/>
        <w:left w:val="none" w:sz="0" w:space="0" w:color="auto"/>
        <w:bottom w:val="none" w:sz="0" w:space="0" w:color="auto"/>
        <w:right w:val="none" w:sz="0" w:space="0" w:color="auto"/>
      </w:divBdr>
    </w:div>
    <w:div w:id="1909072811">
      <w:bodyDiv w:val="1"/>
      <w:marLeft w:val="0"/>
      <w:marRight w:val="0"/>
      <w:marTop w:val="0"/>
      <w:marBottom w:val="0"/>
      <w:divBdr>
        <w:top w:val="none" w:sz="0" w:space="0" w:color="auto"/>
        <w:left w:val="none" w:sz="0" w:space="0" w:color="auto"/>
        <w:bottom w:val="none" w:sz="0" w:space="0" w:color="auto"/>
        <w:right w:val="none" w:sz="0" w:space="0" w:color="auto"/>
      </w:divBdr>
    </w:div>
    <w:div w:id="1941449870">
      <w:bodyDiv w:val="1"/>
      <w:marLeft w:val="0"/>
      <w:marRight w:val="0"/>
      <w:marTop w:val="0"/>
      <w:marBottom w:val="0"/>
      <w:divBdr>
        <w:top w:val="none" w:sz="0" w:space="0" w:color="auto"/>
        <w:left w:val="none" w:sz="0" w:space="0" w:color="auto"/>
        <w:bottom w:val="none" w:sz="0" w:space="0" w:color="auto"/>
        <w:right w:val="none" w:sz="0" w:space="0" w:color="auto"/>
      </w:divBdr>
    </w:div>
    <w:div w:id="1982032114">
      <w:bodyDiv w:val="1"/>
      <w:marLeft w:val="0"/>
      <w:marRight w:val="0"/>
      <w:marTop w:val="0"/>
      <w:marBottom w:val="0"/>
      <w:divBdr>
        <w:top w:val="none" w:sz="0" w:space="0" w:color="auto"/>
        <w:left w:val="none" w:sz="0" w:space="0" w:color="auto"/>
        <w:bottom w:val="none" w:sz="0" w:space="0" w:color="auto"/>
        <w:right w:val="none" w:sz="0" w:space="0" w:color="auto"/>
      </w:divBdr>
    </w:div>
    <w:div w:id="2016953542">
      <w:bodyDiv w:val="1"/>
      <w:marLeft w:val="0"/>
      <w:marRight w:val="0"/>
      <w:marTop w:val="0"/>
      <w:marBottom w:val="0"/>
      <w:divBdr>
        <w:top w:val="none" w:sz="0" w:space="0" w:color="auto"/>
        <w:left w:val="none" w:sz="0" w:space="0" w:color="auto"/>
        <w:bottom w:val="none" w:sz="0" w:space="0" w:color="auto"/>
        <w:right w:val="none" w:sz="0" w:space="0" w:color="auto"/>
      </w:divBdr>
    </w:div>
    <w:div w:id="20784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powerbi.com/MobileRedirect.html?action=OpenReport&amp;reportObjectId=8a42db3c-56d1-4c36-9d92-3411913689c6&amp;ctid=a8eec281-aaa3-4dae-ac9b-9a398b9215e7&amp;reportPage=ac73268bd12e10b7464a&amp;pbi_source=copyvisualim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3135</Words>
  <Characters>17874</Characters>
  <Application>Microsoft Office Word</Application>
  <DocSecurity>0</DocSecurity>
  <Lines>148</Lines>
  <Paragraphs>41</Paragraphs>
  <ScaleCrop>false</ScaleCrop>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Sonawane</dc:creator>
  <cp:keywords/>
  <dc:description/>
  <cp:lastModifiedBy>Trusha Sonawane</cp:lastModifiedBy>
  <cp:revision>40</cp:revision>
  <dcterms:created xsi:type="dcterms:W3CDTF">2025-03-25T04:18:00Z</dcterms:created>
  <dcterms:modified xsi:type="dcterms:W3CDTF">2025-03-25T04:58:00Z</dcterms:modified>
</cp:coreProperties>
</file>