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 Merkblatt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ist in verschiedenen auch verstärkten und tribologisch optimierten Ausführungen lieferbar. Die verschiedenen Typen können in zwei Kategorien unterteilt werden: hochfest und verschleißfest.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Hochfeste Torlon® Typen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Torlon® 4203 (PAI)</w:t>
        <w:br/>
        <w:t xml:space="preserve">ist die unverstärkte Standardtype. Sie ist hoch fest und verfügt über die höchste Schlagzähigkeit aller Torlon® Typen. Darüber hinaus verfügt das Material über eine geringe Wärmeausdehnung und beste Isolationseigenschaften.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5030 (PAI GF30)</w:t>
        <w:br/>
        <w:t xml:space="preserve">ist ein mit 30% Glasfaseranteil verstärktes PAI. Das Material bietet hohe Steifigkeit und gute mechanische Festigkeit in Kombination mit einer beachtlichen Zähigkeit. Auch unter Temperatureinfluss zeigt Torlon® 5030 nur geringste Kriechneigung.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7130 (PAI CF30)</w:t>
        <w:br/>
        <w:t xml:space="preserve">ist ein mit 30% Kohlenstofffasern verstärktes PAI. Die Verstärkung bewirkt eine außerordentlich hohe Steifigkeit, Festigkeit und Kriechfestigkeit selbst bei extremer Temperaturbelastung. Im Gegensatz zu Glasfasern greifen Kohlenstofffasern in Gleitanwendungen den Gegenlaufpartner nicht 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Verschleißfeste Torlon® Typen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4275 (PAI GR20)</w:t>
        <w:br/>
        <w:t xml:space="preserve">ist eine Type mit erhöhtem Grafitanteil, der die Gleiteigenschaften und die Verschleißfestigkeit verbessert. Daher eignet sich Torlon® 4275 insbesondere für Gleitanwendungen bei höheren Gleitgeschwindigkeiten.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4301 (PAI GR12)</w:t>
        <w:br/>
        <w:t xml:space="preserve">ist die Standard-Gleitlagertype. Das Material bietet gute Verschleiß- und Gleiteigenschaften bei gleichzeitig hoher mechanischer Festigkeit. Damit eignet sich Torlon® 4301 besonders für belastete Gleit- und Lagerelemente.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4435 (PAI mod)</w:t>
        <w:br/>
        <w:t xml:space="preserve">ist eine tribologisch modifizierte Type für extreme Anwendungen. Die Kombination verschiedener Füllstoffe verleiht dem Material beste Verschleißeigenschaften bei hohen Geschwindigkeiten und hoher Flächenpressung.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4630 (PAI GR, TF)</w:t>
        <w:br/>
        <w:t xml:space="preserve">ist ebenfalls eine tribologisch modifizierte Type für ungeschmierte Anwendungen. Torlon® 4630 bietet höchste Verschleißfestigkeit im Trockenlauf.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Torlon® 4645 (PAI CF, TF)</w:t>
        <w:br/>
        <w:t xml:space="preserve">ist ebenfalls eine Gleitlagertype, die aufgrund ihrer Füllstoffkombination höchste Verschleißfestigkeit bei geschmierten Anwendungen bietet.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