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A6A6A"/>
          <w:sz w:val="20"/>
          <w:szCs w:val="20"/>
        </w:rPr>
        <w:t xml:space="preserve">Maricopa Community Colleges  ·  AI Resource Center (ARC)  ·  Domain 5</w:t>
      </w:r>
    </w:p>
    <w:p>
      <w:pPr>
        <w:spacing w:after="40"/>
      </w:pPr>
      <w:r>
        <w:rPr>
          <w:b/>
          <w:bCs/>
          <w:color w:val="6B3A5B"/>
          <w:sz w:val="48"/>
          <w:szCs w:val="48"/>
        </w:rPr>
        <w:t xml:space="preserve">Student Support &amp; Success</w:t>
      </w:r>
    </w:p>
    <w:p>
      <w:pPr>
        <w:spacing w:after="120"/>
      </w:pPr>
      <w:r>
        <w:rPr>
          <w:color w:val="55663F"/>
          <w:sz w:val="26"/>
          <w:szCs w:val="26"/>
        </w:rPr>
        <w:t xml:space="preserve">Domain Group Plan — Priorities, Roadmap, Stakeholders, and Execution</w:t>
      </w:r>
    </w:p>
    <w:p>
      <w:pPr>
        <w:spacing w:after="120" w:line="276"/>
      </w:pPr>
      <w:r>
        <w:rPr>
          <w:color w:val="6A6A6A"/>
        </w:rPr>
        <w:t xml:space="preserve">DRAFT v0.3  ·  June 2026  ·  </w:t>
      </w:r>
      <w:r>
        <w:rPr>
          <w:color w:val="6A6A6A"/>
        </w:rPr>
        <w:t xml:space="preserve">Student Support &amp; Success Domain Group  ·  Prepared by Michelle Blomberg</w:t>
      </w:r>
    </w:p>
    <w:p>
      <w:pPr>
        <w:pBdr>
          <w:bottom w:val="single" w:color="6B3A5B" w:sz="12" w:space="6"/>
        </w:pBdr>
      </w:pPr>
      <w:r>
        <w:t xml:space="preserve"/>
      </w:r>
    </w:p>
    <w:p>
      <w:pPr>
        <w:pStyle w:val="Heading1"/>
      </w:pPr>
      <w:r>
        <w:rPr>
          <w:color w:val="6B3A5B"/>
        </w:rPr>
        <w:t xml:space="preserve">Why this work exists</w:t>
      </w:r>
    </w:p>
    <w:p>
      <w:pPr>
        <w:spacing w:after="120" w:line="276"/>
      </w:pPr>
      <w:r>
        <w:t xml:space="preserve">Domain 5 uses AI to build human connection, not replace it. Two things drive the work: help more students find the support that already exists (many do not recognize their situation as something a service was built for), and free staff from repetitive workflow so they have more time with students. Success looks like more student contact, not less. If a tool reduces human contact instead of expanding it, we do not recommend it.</w:t>
      </w:r>
    </w:p>
    <w:p>
      <w:pPr>
        <w:spacing w:after="120" w:line="276"/>
      </w:pPr>
      <w:r>
        <w:rPr>
          <w:b/>
          <w:bCs/>
        </w:rPr>
        <w:t xml:space="preserve">Scope guardrail. </w:t>
      </w:r>
      <w:r>
        <w:t xml:space="preserve">This domain only makes recommendations tied to AI. Service-process ideas that surface get documented and routed to the appropriate body. We stay in our lane.</w:t>
      </w:r>
    </w:p>
    <w:p>
      <w:pPr>
        <w:spacing w:after="120" w:line="276"/>
      </w:pPr>
      <w:r>
        <w:rPr>
          <w:b/>
          <w:bCs/>
        </w:rPr>
        <w:t xml:space="preserve">Our domain boundaries. </w:t>
      </w:r>
      <w:r>
        <w:t xml:space="preserve">Per the ARC Domain Groups Overview, Domain 5 covers the NON-classroom student journey: advising, counseling, financial aid, enrollment, registration, student life, well-being, and retention. Classroom instruction, curriculum, pedagogy, and faculty tools/training are out of scope (Domain 2, Teaching &amp; Learning); governance is Domain 1; employee training and Institutional Research are Domain 3; credentials are Domain 4. Where our findings touch those areas, we join their working groups and bring the student-barrier lens rather than owning the work.</w:t>
      </w:r>
    </w:p>
    <w:p>
      <w:pPr>
        <w:spacing w:after="120" w:line="276"/>
      </w:pPr>
      <w:r>
        <w:rPr>
          <w:b/>
          <w:bCs/>
        </w:rPr>
        <w:t xml:space="preserve">Translate, do not standardize. </w:t>
      </w:r>
      <w:r>
        <w:t xml:space="preserve">Each of the 10 colleges is independently accredited with its own programs, resources, and names. Nothing here asks colleges to align or rename. Our crosswalk is a translation layer so students and tools can navigate, while every college keeps its own identity.</w:t>
      </w:r>
    </w:p>
    <w:p>
      <w:pPr>
        <w:pStyle w:val="Heading1"/>
      </w:pPr>
      <w:r>
        <w:rPr>
          <w:color w:val="6B3A5B"/>
        </w:rPr>
        <w:t xml:space="preserve">Grounded in real data</w:t>
      </w:r>
    </w:p>
    <w:p>
      <w:pPr>
        <w:spacing w:after="120" w:line="276"/>
      </w:pPr>
      <w:r>
        <w:t xml:space="preserve">Every part of this preparation is built on real evidence, not assumptions — worth making clear to leadership and in any UX conversation about this work. Three real data sources anchor it:</w:t>
      </w:r>
    </w:p>
    <w:p>
      <w:pPr>
        <w:pStyle w:val="ListParagraph"/>
        <w:numPr>
          <w:ilvl w:val="0"/>
          <w:numId w:val="2"/>
        </w:numPr>
        <w:spacing w:after="60"/>
      </w:pPr>
      <w:r>
        <w:rPr>
          <w:b/>
          <w:bCs/>
        </w:rPr>
        <w:t xml:space="preserve">Primary research across all 10 colleges. </w:t>
      </w:r>
      <w:r>
        <w:t xml:space="preserve">We inventoried student-facing services and their local names from each college’s website, producing the service crosswalk.</w:t>
      </w:r>
    </w:p>
    <w:p>
      <w:pPr>
        <w:pStyle w:val="ListParagraph"/>
        <w:numPr>
          <w:ilvl w:val="0"/>
          <w:numId w:val="2"/>
        </w:numPr>
        <w:spacing w:after="60"/>
      </w:pPr>
      <w:r>
        <w:rPr>
          <w:b/>
          <w:bCs/>
        </w:rPr>
        <w:t xml:space="preserve">Faculty Senate GCC Student Frustrations Survey. </w:t>
      </w:r>
      <w:r>
        <w:t xml:space="preserve">83 documented student barriers, averaging 4.5/5 on both frustration and impact; analyzed and cross-walked into the scenario tasks. Top theme: campus technology (printing, wi-fi, login/DUO, lab access).</w:t>
      </w:r>
    </w:p>
    <w:p>
      <w:pPr>
        <w:pStyle w:val="ListParagraph"/>
        <w:numPr>
          <w:ilvl w:val="0"/>
          <w:numId w:val="2"/>
        </w:numPr>
        <w:spacing w:after="60"/>
      </w:pPr>
      <w:r>
        <w:rPr>
          <w:b/>
          <w:bCs/>
        </w:rPr>
        <w:t xml:space="preserve">Rio Salado Student Senate session (March 2026). </w:t>
      </w:r>
      <w:r>
        <w:t xml:space="preserve">Direct student voice on AI and student success: inconsistent AI-use rules across classes, no guidance on how to use AI well, frustration with AI-graded discussion platforms, equity and access concerns, and a clear ask for short AI-literacy lessons. This shapes our AI recommendations and adoption work.</w:t>
      </w:r>
    </w:p>
    <w:p>
      <w:pPr>
        <w:spacing w:after="120" w:line="276"/>
      </w:pPr>
      <w:r>
        <w:t xml:space="preserve">Fieldwork then layers the lived student experience on top of this evidence base. These sources and the theme-to-task mapping are summarized in the workbook (Real Data tab).</w:t>
      </w:r>
    </w:p>
    <w:p>
      <w:pPr>
        <w:pStyle w:val="Heading1"/>
      </w:pPr>
      <w:r>
        <w:rPr>
          <w:color w:val="6B3A5B"/>
        </w:rPr>
        <w:t xml:space="preserve">How this plan follows the ARC domain-group framework</w:t>
      </w:r>
    </w:p>
    <w:p>
      <w:pPr>
        <w:spacing w:after="120" w:line="276"/>
      </w:pPr>
      <w:r>
        <w:t xml:space="preserve">Per the ARC Domain Group Orientation Guide, every domain group is accountable for four core outputs. This plan is organized around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700"/>
        <w:gridCol w:w="6140"/>
      </w:tblGrid>
      <w:tr>
        <w:trPr>
          <w:tblHeader/>
        </w:trPr>
        <w:tc>
          <w:tcPr>
            <w:tcW w:type="dxa" w:w="52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w:t>
            </w:r>
          </w:p>
        </w:tc>
        <w:tc>
          <w:tcPr>
            <w:tcW w:type="dxa" w:w="270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ARC responsibility</w:t>
            </w:r>
          </w:p>
        </w:tc>
        <w:tc>
          <w:tcPr>
            <w:tcW w:type="dxa" w:w="614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Where it lives in this plan</w:t>
            </w:r>
          </w:p>
        </w:tc>
      </w:tr>
      <w:tr>
        <w:tc>
          <w:tcPr>
            <w:tcW w:type="dxa" w:w="52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01</w:t>
            </w:r>
          </w:p>
        </w:tc>
        <w:tc>
          <w:tcPr>
            <w:tcW w:type="dxa" w:w="2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Identify priorities</w:t>
            </w:r>
          </w:p>
        </w:tc>
        <w:tc>
          <w:tcPr>
            <w:tcW w:type="dxa" w:w="614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Section 1 — our four prioritized initiatives</w:t>
            </w:r>
          </w:p>
        </w:tc>
      </w:tr>
      <w:tr>
        <w:tc>
          <w:tcPr>
            <w:tcW w:type="dxa" w:w="52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02</w:t>
            </w:r>
          </w:p>
        </w:tc>
        <w:tc>
          <w:tcPr>
            <w:tcW w:type="dxa" w:w="2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Develop a roadmap</w:t>
            </w:r>
          </w:p>
        </w:tc>
        <w:tc>
          <w:tcPr>
            <w:tcW w:type="dxa" w:w="614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Section 2 — sequenced timeline with dates</w:t>
            </w:r>
          </w:p>
        </w:tc>
      </w:tr>
      <w:tr>
        <w:tc>
          <w:tcPr>
            <w:tcW w:type="dxa" w:w="52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03</w:t>
            </w:r>
          </w:p>
        </w:tc>
        <w:tc>
          <w:tcPr>
            <w:tcW w:type="dxa" w:w="2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Stakeholder engagement</w:t>
            </w:r>
          </w:p>
        </w:tc>
        <w:tc>
          <w:tcPr>
            <w:tcW w:type="dxa" w:w="614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Section 3 — who we engage and when (students front and center)</w:t>
            </w:r>
          </w:p>
        </w:tc>
      </w:tr>
      <w:tr>
        <w:tc>
          <w:tcPr>
            <w:tcW w:type="dxa" w:w="52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04</w:t>
            </w:r>
          </w:p>
        </w:tc>
        <w:tc>
          <w:tcPr>
            <w:tcW w:type="dxa" w:w="2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Decide how work gets done</w:t>
            </w:r>
          </w:p>
        </w:tc>
        <w:tc>
          <w:tcPr>
            <w:tcW w:type="dxa" w:w="614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Section 4 — execution path + staffing for each initiative</w:t>
            </w:r>
          </w:p>
        </w:tc>
      </w:tr>
    </w:tbl>
    <w:p>
      <w:pPr>
        <w:spacing w:after="120" w:line="276"/>
      </w:pPr>
      <w:r>
        <w:rPr>
          <w:b/>
          <w:bCs/>
        </w:rPr>
        <w:t xml:space="preserve">On the number of goals. </w:t>
      </w:r>
      <w:r>
        <w:t xml:space="preserve">We consolidated the earlier five goals into </w:t>
      </w:r>
      <w:r>
        <w:rPr>
          <w:b/>
          <w:bCs/>
        </w:rPr>
        <w:t xml:space="preserve">four prioritized initiatives.</w:t>
      </w:r>
      <w:r>
        <w:t xml:space="preserve"> Student partnership is no longer a separate goal; per the ARC guide, it runs through every initiative as our core stakeholder commitment, detailed in Section 3. We also follow the ARC definition of success: a prioritized list, a realistic sequenced roadmap, early and ongoing stakeholder input, documented execution decisions, iterative releases with feedback loops, and knowledge transfer so the work outlives the group.</w:t>
      </w:r>
    </w:p>
    <w:p>
      <w:pPr>
        <w:pStyle w:val="Heading1"/>
      </w:pPr>
      <w:r>
        <w:rPr>
          <w:color w:val="6B3A5B"/>
        </w:rPr>
        <w:t xml:space="preserve">Section 1 — Our prioritized initiatives  (ARC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600"/>
        <w:gridCol w:w="4200"/>
        <w:gridCol w:w="1940"/>
      </w:tblGrid>
      <w:tr>
        <w:trPr>
          <w:tblHeader/>
        </w:trPr>
        <w:tc>
          <w:tcPr>
            <w:tcW w:type="dxa" w:w="62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Initiative</w:t>
            </w:r>
          </w:p>
        </w:tc>
        <w:tc>
          <w:tcPr>
            <w:tcW w:type="dxa" w:w="420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Why it is the priority</w:t>
            </w:r>
          </w:p>
        </w:tc>
        <w:tc>
          <w:tcPr>
            <w:tcW w:type="dxa" w:w="194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AI tie-in (scope)</w:t>
            </w:r>
          </w:p>
        </w:tc>
      </w:tr>
      <w:tr>
        <w:tc>
          <w:tcPr>
            <w:tcW w:type="dxa" w:w="62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P1</w:t>
            </w:r>
          </w:p>
        </w:tc>
        <w:tc>
          <w:tcPr>
            <w:tcW w:type="dxa" w:w="2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Map the landscape (tool inventory + service crosswalk)</w:t>
            </w:r>
          </w:p>
        </w:tc>
        <w:tc>
          <w:tcPr>
            <w:tcW w:type="dxa" w:w="4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Everything depends on a shared map of what exists and what each college calls it.</w:t>
            </w:r>
          </w:p>
        </w:tc>
        <w:tc>
          <w:tcPr>
            <w:tcW w:type="dxa" w:w="194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A routing/translation layer any future AI tool needs.</w:t>
            </w:r>
          </w:p>
        </w:tc>
      </w:tr>
      <w:tr>
        <w:tc>
          <w:tcPr>
            <w:tcW w:type="dxa" w:w="62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P2</w:t>
            </w:r>
          </w:p>
        </w:tc>
        <w:tc>
          <w:tcPr>
            <w:tcW w:type="dxa" w:w="2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Student Journey UX Study</w:t>
            </w:r>
          </w:p>
        </w:tc>
        <w:tc>
          <w:tcPr>
            <w:tcW w:type="dxa" w:w="4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The core diagnosis: where students hit barriers across all 10 colleges, including swirling, Canvas, and account offboarding.</w:t>
            </w:r>
          </w:p>
        </w:tc>
        <w:tc>
          <w:tcPr>
            <w:tcW w:type="dxa" w:w="194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Each barrier becomes a candidate for an AI fix.</w:t>
            </w:r>
          </w:p>
        </w:tc>
      </w:tr>
      <w:tr>
        <w:tc>
          <w:tcPr>
            <w:tcW w:type="dxa" w:w="62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P3</w:t>
            </w:r>
          </w:p>
        </w:tc>
        <w:tc>
          <w:tcPr>
            <w:tcW w:type="dxa" w:w="2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Usage &amp; staff-workflow baseline</w:t>
            </w:r>
          </w:p>
        </w:tc>
        <w:tc>
          <w:tcPr>
            <w:tcW w:type="dxa" w:w="4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Grounds the study in numbers (who uses what) and in how staff actually work.</w:t>
            </w:r>
          </w:p>
        </w:tc>
        <w:tc>
          <w:tcPr>
            <w:tcW w:type="dxa" w:w="194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Surfaces the repetitive workflow AI could ease.</w:t>
            </w:r>
          </w:p>
        </w:tc>
      </w:tr>
      <w:tr>
        <w:tc>
          <w:tcPr>
            <w:tcW w:type="dxa" w:w="62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P4</w:t>
            </w:r>
          </w:p>
        </w:tc>
        <w:tc>
          <w:tcPr>
            <w:tcW w:type="dxa" w:w="26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AI recommendations &amp; pilots</w:t>
            </w:r>
          </w:p>
        </w:tc>
        <w:tc>
          <w:tcPr>
            <w:tcW w:type="dxa" w:w="42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The deliverable: turn barriers into prioritized, human-in-the-loop AI pilots, co-designed with staff and students.</w:t>
            </w:r>
          </w:p>
        </w:tc>
        <w:tc>
          <w:tcPr>
            <w:tcW w:type="dxa" w:w="194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The recommendations themselves; carried by the ‘I am AI’ adoption campaign.</w:t>
            </w:r>
          </w:p>
        </w:tc>
      </w:tr>
    </w:tbl>
    <w:p>
      <w:pPr>
        <w:pStyle w:val="Heading3"/>
      </w:pPr>
      <w:r>
        <w:rPr>
          <w:b/>
          <w:bCs/>
          <w:color w:val="9C5B6B"/>
        </w:rPr>
        <w:t xml:space="preserve">P1 — Map the landscape</w:t>
      </w:r>
    </w:p>
    <w:p>
      <w:pPr>
        <w:spacing w:after="120" w:line="276"/>
      </w:pPr>
      <w:r>
        <w:t xml:space="preserve">A district tool inventory, a campus-specific tool inventory, and a service crosswalk mapping every student-facing function to its local name at each college. First full pass is complete (40+ functions × 10 colleges) in the companion workbook; reps verify their own column. ‘Not offered here’ is a valid finding. (Translation layer, not standardization.)</w:t>
      </w:r>
    </w:p>
    <w:p>
      <w:pPr>
        <w:pStyle w:val="Heading3"/>
      </w:pPr>
      <w:r>
        <w:rPr>
          <w:b/>
          <w:bCs/>
          <w:color w:val="9C5B6B"/>
        </w:rPr>
        <w:t xml:space="preserve">P2 — Student Journey UX Study</w:t>
      </w:r>
    </w:p>
    <w:p>
      <w:pPr>
        <w:spacing w:after="120" w:line="276"/>
      </w:pPr>
      <w:r>
        <w:t xml:space="preserve">Three personas live the full journey at all 10 colleges and are handed problems, not destinations: we never say “go to advising,” we say “get enrolled in the right classes,” and watch whether they self-serve or seek help and which path hurts more. We capture search terms, dead ends, whether a human was needed, where they landed, time, severity, and AI opportunity. Canvas tasks and a graduation offboarding task (saving email/files before the account closes) are included.</w:t>
      </w:r>
    </w:p>
    <w:p>
      <w:pPr>
        <w:spacing w:after="120" w:line="276"/>
      </w:pPr>
      <w:r>
        <w:rPr>
          <w:b/>
          <w:bCs/>
        </w:rPr>
        <w:t xml:space="preserve">Survey-grounded. </w:t>
      </w:r>
      <w:r>
        <w:t xml:space="preserve">The task list was checked against the Faculty Senate frustrations survey so it covers the real, documented barriers — including a dedicated campus-technology task (printing, wi-fi, lab access, password/DUO) that the survey flagged as the single biggest pain point.</w:t>
      </w:r>
    </w:p>
    <w:p>
      <w:pPr>
        <w:spacing w:after="120" w:line="276"/>
      </w:pPr>
      <w:r>
        <w:rPr>
          <w:b/>
          <w:bCs/>
        </w:rPr>
        <w:t xml:space="preserve">Swirling is built in. </w:t>
      </w:r>
      <w:r>
        <w:t xml:space="preserve">Two of the three personas enroll at a second Maricopa college, surfacing the compounding barriers of a second application, residency re-proof, aid consortium agreements, making credits count back home, and unfamiliar local names. Maricopa is not “one Maricopa.”</w:t>
      </w:r>
    </w:p>
    <w:p>
      <w:pPr>
        <w:spacing w:after="120" w:line="276"/>
      </w:pPr>
      <w:r>
        <w:rPr>
          <w:b/>
          <w:bCs/>
        </w:rPr>
        <w:t xml:space="preserve">Operational detail </w:t>
      </w:r>
      <w:r>
        <w:t xml:space="preserve">(personas, the branching task roadmap, per-college run instructions, the crosswalk answer key, barrier log, and AI opportunity map) lives in the companion workbook, </w:t>
      </w:r>
      <w:hyperlink w:history="1" r:id="rIdb67xgaxrjn2ypmd5pkztm">
        <w:r>
          <w:rPr>
            <w:rStyle w:val="Hyperlink"/>
          </w:rPr>
          <w:t xml:space="preserve">Maricopa_Student_Journey_Study_Kit.xlsx</w:t>
        </w:r>
      </w:hyperlink>
      <w:r>
        <w:t xml:space="preserve">. The test itself is run through a Google Form (see the Form Blueprint), which feeds a live Google Sheet.</w:t>
      </w:r>
    </w:p>
    <w:p>
      <w:pPr>
        <w:pStyle w:val="Heading3"/>
      </w:pPr>
      <w:r>
        <w:rPr>
          <w:b/>
          <w:bCs/>
          <w:color w:val="9C5B6B"/>
        </w:rPr>
        <w:t xml:space="preserve">P3 — Usage &amp; staff-workflow baseline</w:t>
      </w:r>
    </w:p>
    <w:p>
      <w:pPr>
        <w:spacing w:after="120" w:line="276"/>
      </w:pPr>
      <w:r>
        <w:t xml:space="preserve">Of the district’s ~140,000 students, how many use each service each semester? Each department reports students-served and how they think students find them; we verify that against real students (Section 3) and the UX study. A department-manager survey and a staff workflow audit run in parallel. Departments own their data; confirm what already exists via the Salesforce implementation before duplicating effort.</w:t>
      </w:r>
    </w:p>
    <w:p>
      <w:pPr>
        <w:pStyle w:val="Heading3"/>
      </w:pPr>
      <w:r>
        <w:rPr>
          <w:b/>
          <w:bCs/>
          <w:color w:val="9C5B6B"/>
        </w:rPr>
        <w:t xml:space="preserve">P4 — AI recommendations &amp; pilots</w:t>
      </w:r>
    </w:p>
    <w:p>
      <w:pPr>
        <w:spacing w:after="120" w:line="276"/>
      </w:pPr>
      <w:r>
        <w:t xml:space="preserve">Convert barriers into prioritized AI recommendations: AI features in tools we already license but are not using, and new pilots for the highest-pain points. Every recommendation ties to a documented barrier and keeps a human in the loop. Pilots are built with the staff and students who flagged the need, carried by the friendly ‘I am AI’ adoption mascot distributed peer-to-peer at participation moments.</w:t>
      </w:r>
    </w:p>
    <w:p>
      <w:pPr>
        <w:spacing w:after="120" w:line="276"/>
      </w:pPr>
      <w:r>
        <w:rPr>
          <w:b/>
          <w:bCs/>
        </w:rPr>
        <w:t xml:space="preserve">Cross-domain hand-off to Teaching &amp; Learning (Domain 2) — a Canvas Course Barrier Checker. </w:t>
      </w:r>
      <w:r>
        <w:t xml:space="preserve">An AI agent reviews a Canvas course against the Online Learning Consortium course-design rubric (OSCQR) and the barriers our study and the faculty/student data surface, then gives the instructor a plain-language report on what to fix: inconsistent or missing syllabus elements, unclear structure, accessibility gaps, and confusing navigation. Classroom and course-design barriers count toward our AI work (purely physical/facilities issues still route elsewhere per the scope guardrail). It also verifies that every REQUIRED syllabus element is present (at GCC, SyllabusPlus helps with this today, but it is not yet mandatory), and it can push consistent-syllabus and course-structure guidance to faculty. The instructor stays in control of every change, and it scales faculty support across the district. Because faculty cannot be required to run a course through the checker, pair it with incentives for participation. Course design and faculty tools are out of our domain’s scope, so we do NOT own or build this. We surface the student-experienced barriers and co-sit on the Domain 2 working group that would own it.</w:t>
      </w:r>
    </w:p>
    <w:p>
      <w:pPr>
        <w:pStyle w:val="Heading1"/>
      </w:pPr>
      <w:r>
        <w:rPr>
          <w:color w:val="6B3A5B"/>
        </w:rPr>
        <w:t xml:space="preserve">Section 2 — Roadmap &amp; timeline  (ARC 02)</w:t>
      </w:r>
    </w:p>
    <w:p>
      <w:pPr>
        <w:spacing w:after="120" w:line="276"/>
      </w:pPr>
      <w:r>
        <w:rPr>
          <w:b/>
          <w:bCs/>
        </w:rPr>
        <w:t xml:space="preserve">The usability study runs in Fall 2026 </w:t>
      </w:r>
      <w:r>
        <w:t xml:space="preserve">(target fieldwork Sept–Nov), after the kit and Form are built and reps and students are recruited over the summer.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4060"/>
        <w:gridCol w:w="1500"/>
      </w:tblGrid>
      <w:tr>
        <w:trPr>
          <w:tblHeader/>
        </w:trPr>
        <w:tc>
          <w:tcPr>
            <w:tcW w:type="dxa" w:w="210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Phase</w:t>
            </w:r>
          </w:p>
        </w:tc>
        <w:tc>
          <w:tcPr>
            <w:tcW w:type="dxa" w:w="170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Window</w:t>
            </w:r>
          </w:p>
        </w:tc>
        <w:tc>
          <w:tcPr>
            <w:tcW w:type="dxa" w:w="406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What happens</w:t>
            </w:r>
          </w:p>
        </w:tc>
        <w:tc>
          <w:tcPr>
            <w:tcW w:type="dxa" w:w="150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Initiatives</w:t>
            </w:r>
          </w:p>
        </w:tc>
      </w:tr>
      <w:tr>
        <w:tc>
          <w:tcPr>
            <w:tcW w:type="dxa" w:w="21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Discovery</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Jun–Aug 2026</w:t>
            </w:r>
          </w:p>
        </w:tc>
        <w:tc>
          <w:tcPr>
            <w:tcW w:type="dxa" w:w="40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Study kit built (done); recruit 10 reps + stand up Student AI Group; send dept-manager survey; begin baseline data; build the Google Form; secure district IT + Salesforce contacts.</w:t>
            </w:r>
          </w:p>
        </w:tc>
        <w:tc>
          <w:tcPr>
            <w:tcW w:type="dxa" w:w="1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P1; set up P2; start P3</w:t>
            </w:r>
          </w:p>
        </w:tc>
      </w:tr>
      <w:tr>
        <w:tc>
          <w:tcPr>
            <w:tcW w:type="dxa" w:w="21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Diagnosis / Fieldwork</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Sep–Dec 2026</w:t>
            </w:r>
          </w:p>
        </w:tc>
        <w:tc>
          <w:tcPr>
            <w:tcW w:type="dxa" w:w="40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Run the usability study (personas at all 10 colleges via the Form); staff workflow audit; students validate the journey.</w:t>
            </w:r>
          </w:p>
        </w:tc>
        <w:tc>
          <w:tcPr>
            <w:tcW w:type="dxa" w:w="1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P2; P3</w:t>
            </w:r>
          </w:p>
        </w:tc>
      </w:tr>
      <w:tr>
        <w:tc>
          <w:tcPr>
            <w:tcW w:type="dxa" w:w="21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Recommendations &amp; Pilots</w:t>
            </w:r>
          </w:p>
        </w:tc>
        <w:tc>
          <w:tcPr>
            <w:tcW w:type="dxa" w:w="17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Jan–May 2027</w:t>
            </w:r>
          </w:p>
        </w:tc>
        <w:tc>
          <w:tcPr>
            <w:tcW w:type="dxa" w:w="40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Synthesize barriers; build the AI Opportunity Map; co-design and pilot tools with staff + students; ‘I am AI’ adoption.</w:t>
            </w:r>
          </w:p>
        </w:tc>
        <w:tc>
          <w:tcPr>
            <w:tcW w:type="dxa" w:w="1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P4</w:t>
            </w:r>
          </w:p>
        </w:tc>
      </w:tr>
    </w:tbl>
    <w:p>
      <w:pPr>
        <w:spacing w:after="120" w:line="276"/>
      </w:pPr>
      <w:r>
        <w:rPr>
          <w:b/>
          <w:bCs/>
        </w:rPr>
        <w:t xml:space="preserve">Feedback loops (per ARC): </w:t>
      </w:r>
      <w:r>
        <w:rPr>
          <w:i/>
          <w:iCs/>
        </w:rPr>
        <w:t xml:space="preserve">we share draft findings with reps, staff, and students before anything is final, and release iteratively rather than in one big reveal.</w:t>
      </w:r>
    </w:p>
    <w:p>
      <w:pPr>
        <w:pStyle w:val="Heading1"/>
      </w:pPr>
      <w:r>
        <w:rPr>
          <w:color w:val="6B3A5B"/>
        </w:rPr>
        <w:t xml:space="preserve">Section 3 — Stakeholder engagement  (ARC 03)</w:t>
      </w:r>
    </w:p>
    <w:p>
      <w:pPr>
        <w:spacing w:after="120" w:line="276"/>
      </w:pPr>
      <w:r>
        <w:t xml:space="preserve">Students are partners, not subjects, and engaging them early is the biggest driver of student buy-in. We engage each group at the right time, not just at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Stakeholder</w:t>
            </w:r>
          </w:p>
        </w:tc>
        <w:tc>
          <w:tcPr>
            <w:tcW w:type="dxa" w:w="340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How we engage</w:t>
            </w:r>
          </w:p>
        </w:tc>
        <w:tc>
          <w:tcPr>
            <w:tcW w:type="dxa" w:w="366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When</w:t>
            </w:r>
          </w:p>
        </w:tc>
      </w:tr>
      <w:tr>
        <w:tc>
          <w:tcPr>
            <w:tcW w:type="dxa" w:w="23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Students (Student AI Group)</w:t>
            </w:r>
          </w:p>
        </w:tc>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Stand up via student government; students (including design-studio students) work through the personas, tell us how they actually find services, and co-design any tools. Shared with other AIRC domains.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Recruit summer; run personas fall; co-design spring</w:t>
            </w:r>
          </w:p>
        </w:tc>
      </w:tr>
      <w:tr>
        <w:tc>
          <w:tcPr>
            <w:tcW w:type="dxa" w:w="23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Campus representatives</w:t>
            </w:r>
          </w:p>
        </w:tc>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One per college; verify the crosswalk, gather baseline data, run the personas using local names.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Throughout</w:t>
            </w:r>
          </w:p>
        </w:tc>
      </w:tr>
      <w:tr>
        <w:tc>
          <w:tcPr>
            <w:tcW w:type="dxa" w:w="23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Department managers</w:t>
            </w:r>
          </w:p>
        </w:tc>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Survey on tools/AI/roadblocks; report baseline usage; review findings.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Survey end of summer; data fall; review winter</w:t>
            </w:r>
          </w:p>
        </w:tc>
      </w:tr>
      <w:tr>
        <w:tc>
          <w:tcPr>
            <w:tcW w:type="dxa" w:w="23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District contacts</w:t>
            </w:r>
          </w:p>
        </w:tc>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Salesforce + Institutional Research (confirm existing data); IT (set up persona test accounts).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Summer</w:t>
            </w:r>
          </w:p>
        </w:tc>
      </w:tr>
      <w:tr>
        <w:tc>
          <w:tcPr>
            <w:tcW w:type="dxa" w:w="23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ARC co-chairs / Steering</w:t>
            </w:r>
          </w:p>
        </w:tc>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Facilitation, resourcing, Steering liaison, stakeholder comms.</w:t>
            </w:r>
          </w:p>
        </w:tc>
        <w:tc>
          <w:tcPr>
            <w:tcW w:type="dxa" w:w="36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Throughout</w:t>
            </w:r>
          </w:p>
        </w:tc>
      </w:tr>
    </w:tbl>
    <w:p>
      <w:pPr>
        <w:pStyle w:val="Heading3"/>
      </w:pPr>
      <w:r>
        <w:rPr>
          <w:b/>
          <w:bCs/>
          <w:color w:val="9C5B6B"/>
        </w:rPr>
        <w:t xml:space="preserve">Students: drawing the line between service and paid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Type</w:t>
            </w:r>
          </w:p>
        </w:tc>
        <w:tc>
          <w:tcPr>
            <w:tcW w:type="dxa" w:w="348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When it applies</w:t>
            </w:r>
          </w:p>
        </w:tc>
        <w:tc>
          <w:tcPr>
            <w:tcW w:type="dxa" w:w="348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How we honor it</w:t>
            </w:r>
          </w:p>
        </w:tc>
      </w:tr>
      <w:tr>
        <w:tc>
          <w:tcPr>
            <w:tcW w:type="dxa" w:w="24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Service / volunteer</w:t>
            </w:r>
          </w:p>
        </w:tc>
        <w:tc>
          <w:tcPr>
            <w:tcW w:type="dxa" w:w="348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One-off input, feedback, representing the student voice, short activities</w:t>
            </w:r>
          </w:p>
        </w:tc>
        <w:tc>
          <w:tcPr>
            <w:tcW w:type="dxa" w:w="348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Leadership experience, credit, the ‘I am AI’ mascot, a letter of participation</w:t>
            </w:r>
          </w:p>
        </w:tc>
      </w:tr>
      <w:tr>
        <w:tc>
          <w:tcPr>
            <w:tcW w:type="dxa" w:w="24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Paid (internship / work-study / PT)</w:t>
            </w:r>
          </w:p>
        </w:tc>
        <w:tc>
          <w:tcPr>
            <w:tcW w:type="dxa" w:w="348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Ongoing, skilled, or deliverable-bearing work: co-designing/testing tools, running fieldwork, building the Form/content</w:t>
            </w:r>
          </w:p>
        </w:tc>
        <w:tc>
          <w:tcPr>
            <w:tcW w:type="dxa" w:w="348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A paid role with defined scope and a supervisor</w:t>
            </w:r>
          </w:p>
        </w:tc>
      </w:tr>
    </w:tbl>
    <w:p>
      <w:pPr>
        <w:spacing w:after="120" w:line="276"/>
      </w:pPr>
      <w:r>
        <w:rPr>
          <w:b/>
          <w:bCs/>
        </w:rPr>
        <w:t xml:space="preserve">A built-in buy-in hook. </w:t>
      </w:r>
      <w:r>
        <w:t xml:space="preserve">The Rio Salado senate noted students need civic-duty and volunteer hours. Joining the Student AI Group and running persona tests can count toward those requirements — a concrete reason for students to say yes.</w:t>
      </w:r>
    </w:p>
    <w:p>
      <w:pPr>
        <w:pStyle w:val="Heading1"/>
      </w:pPr>
      <w:r>
        <w:rPr>
          <w:color w:val="6B3A5B"/>
        </w:rPr>
        <w:t xml:space="preserve">Section 4 — How each initiative gets done  (ARC 04)</w:t>
      </w:r>
    </w:p>
    <w:p>
      <w:pPr>
        <w:spacing w:after="120" w:line="276"/>
      </w:pPr>
      <w:r>
        <w:t xml:space="preserve">For each priority we choose a path: the domain group executes it directly (Path A), a targeted working group with added expertise does it (Path B), or another path such as a student project. The domain group stays accountable either way.</w:t>
      </w:r>
    </w:p>
    <w:p>
      <w:pPr>
        <w:spacing w:after="120" w:line="276"/>
      </w:pPr>
      <w:r>
        <w:rPr>
          <w:b/>
          <w:bCs/>
        </w:rPr>
        <w:t xml:space="preserve">How we staff it. </w:t>
      </w:r>
      <w:r>
        <w:t xml:space="preserve">The committee is about 10 members and not everyone is at every meeting, so members sign up for the tasks below between meetings (the ARC model), and we bring students in to drive parts of the work — for example, design-studio students working through the personas. The headcounts below are people needed by sign-up, not the committee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900"/>
        <w:gridCol w:w="1300"/>
        <w:gridCol w:w="2960"/>
      </w:tblGrid>
      <w:tr>
        <w:trPr>
          <w:tblHeader/>
        </w:trPr>
        <w:tc>
          <w:tcPr>
            <w:tcW w:type="dxa" w:w="70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w:t>
            </w:r>
          </w:p>
        </w:tc>
        <w:tc>
          <w:tcPr>
            <w:tcW w:type="dxa" w:w="250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Initiative</w:t>
            </w:r>
          </w:p>
        </w:tc>
        <w:tc>
          <w:tcPr>
            <w:tcW w:type="dxa" w:w="190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Path</w:t>
            </w:r>
          </w:p>
        </w:tc>
        <w:tc>
          <w:tcPr>
            <w:tcW w:type="dxa" w:w="130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~People</w:t>
            </w:r>
          </w:p>
        </w:tc>
        <w:tc>
          <w:tcPr>
            <w:tcW w:type="dxa" w:w="296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Who leads / who drives</w:t>
            </w:r>
          </w:p>
        </w:tc>
      </w:tr>
      <w:tr>
        <w:tc>
          <w:tcPr>
            <w:tcW w:type="dxa" w:w="7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P1</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Map the landscape</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A — group executes</w:t>
            </w:r>
          </w:p>
        </w:tc>
        <w:tc>
          <w:tcPr>
            <w:tcW w:type="dxa" w:w="1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~11</w:t>
            </w:r>
          </w:p>
        </w:tc>
        <w:tc>
          <w:tcPr>
            <w:tcW w:type="dxa" w:w="29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Michelle coordinates; 10 reps each verify their college’s column</w:t>
            </w:r>
          </w:p>
        </w:tc>
      </w:tr>
      <w:tr>
        <w:tc>
          <w:tcPr>
            <w:tcW w:type="dxa" w:w="7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P2</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Student Journey UX Study</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A + student project</w:t>
            </w:r>
          </w:p>
        </w:tc>
        <w:tc>
          <w:tcPr>
            <w:tcW w:type="dxa" w:w="1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by sign-up</w:t>
            </w:r>
          </w:p>
        </w:tc>
        <w:tc>
          <w:tcPr>
            <w:tcW w:type="dxa" w:w="29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Members sign up to coordinate; design-studio &amp; Student AI Group students work through the personas; 10 reps run it at their college</w:t>
            </w:r>
          </w:p>
        </w:tc>
      </w:tr>
      <w:tr>
        <w:tc>
          <w:tcPr>
            <w:tcW w:type="dxa" w:w="7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P3</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Usage &amp; workflow baseline</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B — working group</w:t>
            </w:r>
          </w:p>
        </w:tc>
        <w:tc>
          <w:tcPr>
            <w:tcW w:type="dxa" w:w="1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~4 core + dept contributors</w:t>
            </w:r>
          </w:p>
        </w:tc>
        <w:tc>
          <w:tcPr>
            <w:tcW w:type="dxa" w:w="29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Co-lead + district IR/Salesforce contact; every dept manager reports their own data</w:t>
            </w:r>
          </w:p>
        </w:tc>
      </w:tr>
      <w:tr>
        <w:tc>
          <w:tcPr>
            <w:tcW w:type="dxa" w:w="7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P4</w:t>
            </w:r>
          </w:p>
        </w:tc>
        <w:tc>
          <w:tcPr>
            <w:tcW w:type="dxa" w:w="2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AI recommendations &amp; pilots</w:t>
            </w:r>
          </w:p>
        </w:tc>
        <w:tc>
          <w:tcPr>
            <w:tcW w:type="dxa" w:w="1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B — working group</w:t>
            </w:r>
          </w:p>
        </w:tc>
        <w:tc>
          <w:tcPr>
            <w:tcW w:type="dxa" w:w="13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~5–6 core</w:t>
            </w:r>
          </w:p>
        </w:tc>
        <w:tc>
          <w:tcPr>
            <w:tcW w:type="dxa" w:w="29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Specialists/builders + staff who flagged needs + student co-designers</w:t>
            </w:r>
          </w:p>
        </w:tc>
      </w:tr>
    </w:tbl>
    <w:p>
      <w:pPr>
        <w:spacing w:after="120" w:line="276"/>
      </w:pPr>
      <w:r>
        <w:rPr>
          <w:b/>
          <w:bCs/>
        </w:rPr>
        <w:t xml:space="preserve">Knowledge transfer (per ARC): </w:t>
      </w:r>
      <w:r>
        <w:rPr>
          <w:i/>
          <w:iCs/>
        </w:rPr>
        <w:t xml:space="preserve">every initiative documents its process and outputs (the workbook, the Form, this plan) so the work outlives the group and can be handed off.</w:t>
      </w:r>
    </w:p>
    <w:p>
      <w:pPr>
        <w:pStyle w:val="Heading1"/>
      </w:pPr>
      <w:r>
        <w:rPr>
          <w:color w:val="6B3A5B"/>
        </w:rPr>
        <w:t xml:space="preserve">To-do list — immediate actions (Summer 2026)</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3900"/>
        <w:gridCol w:w="2100"/>
        <w:gridCol w:w="800"/>
        <w:gridCol w:w="1560"/>
      </w:tblGrid>
      <w:tr>
        <w:trPr>
          <w:tblHeader/>
        </w:trPr>
        <w:tc>
          <w:tcPr>
            <w:tcW w:type="dxa" w:w="40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w:t>
            </w:r>
          </w:p>
        </w:tc>
        <w:tc>
          <w:tcPr>
            <w:tcW w:type="dxa" w:w="390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Action</w:t>
            </w:r>
          </w:p>
        </w:tc>
        <w:tc>
          <w:tcPr>
            <w:tcW w:type="dxa" w:w="210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Owner</w:t>
            </w:r>
          </w:p>
        </w:tc>
        <w:tc>
          <w:tcPr>
            <w:tcW w:type="dxa" w:w="80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People</w:t>
            </w:r>
          </w:p>
        </w:tc>
        <w:tc>
          <w:tcPr>
            <w:tcW w:type="dxa" w:w="1560"/>
            <w:tcBorders>
              <w:top w:val="single" w:color="CCCCCC" w:sz="1"/>
              <w:left w:val="single" w:color="CCCCCC" w:sz="1"/>
              <w:bottom w:val="single" w:color="CCCCCC" w:sz="1"/>
              <w:right w:val="single" w:color="CCCCCC" w:sz="1"/>
            </w:tcBorders>
            <w:shd w:fill="55663F" w:val="clear"/>
            <w:tcMar>
              <w:top w:type="dxa" w:w="50"/>
              <w:left w:type="dxa" w:w="90"/>
              <w:bottom w:type="dxa" w:w="50"/>
              <w:right w:type="dxa" w:w="90"/>
            </w:tcMar>
          </w:tcPr>
          <w:p>
            <w:r>
              <w:rPr>
                <w:b/>
                <w:bCs/>
                <w:color w:val="FFFFFF"/>
                <w:sz w:val="19"/>
                <w:szCs w:val="19"/>
              </w:rPr>
              <w:t xml:space="preserve">Target</w:t>
            </w:r>
          </w:p>
        </w:tc>
      </w:tr>
      <w:tr>
        <w:tc>
          <w:tcPr>
            <w:tcW w:type="dxa" w:w="4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1</w:t>
            </w:r>
          </w:p>
        </w:tc>
        <w:tc>
          <w:tcPr>
            <w:tcW w:type="dxa" w:w="3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Confirm one representative per college</w:t>
            </w:r>
          </w:p>
        </w:tc>
        <w:tc>
          <w:tcPr>
            <w:tcW w:type="dxa" w:w="21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Co-chairs (recruiting help)</w:t>
            </w:r>
          </w:p>
        </w:tc>
        <w:tc>
          <w:tcPr>
            <w:tcW w:type="dxa" w:w="8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11</w:t>
            </w:r>
          </w:p>
        </w:tc>
        <w:tc>
          <w:tcPr>
            <w:tcW w:type="dxa" w:w="15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Jun 30</w:t>
            </w:r>
          </w:p>
        </w:tc>
      </w:tr>
      <w:tr>
        <w:tc>
          <w:tcPr>
            <w:tcW w:type="dxa" w:w="4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2</w:t>
            </w:r>
          </w:p>
        </w:tc>
        <w:tc>
          <w:tcPr>
            <w:tcW w:type="dxa" w:w="3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Confirm fall 2026 meeting cadence</w:t>
            </w:r>
          </w:p>
        </w:tc>
        <w:tc>
          <w:tcPr>
            <w:tcW w:type="dxa" w:w="21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Co-chairs</w:t>
            </w:r>
          </w:p>
        </w:tc>
        <w:tc>
          <w:tcPr>
            <w:tcW w:type="dxa" w:w="8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2</w:t>
            </w:r>
          </w:p>
        </w:tc>
        <w:tc>
          <w:tcPr>
            <w:tcW w:type="dxa" w:w="15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Jun 30</w:t>
            </w:r>
          </w:p>
        </w:tc>
      </w:tr>
      <w:tr>
        <w:tc>
          <w:tcPr>
            <w:tcW w:type="dxa" w:w="4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3</w:t>
            </w:r>
          </w:p>
        </w:tc>
        <w:tc>
          <w:tcPr>
            <w:tcW w:type="dxa" w:w="3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Reps verify their college’s crosswalk column</w:t>
            </w:r>
          </w:p>
        </w:tc>
        <w:tc>
          <w:tcPr>
            <w:tcW w:type="dxa" w:w="21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Campus reps</w:t>
            </w:r>
          </w:p>
        </w:tc>
        <w:tc>
          <w:tcPr>
            <w:tcW w:type="dxa" w:w="8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10</w:t>
            </w:r>
          </w:p>
        </w:tc>
        <w:tc>
          <w:tcPr>
            <w:tcW w:type="dxa" w:w="15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Jul 15</w:t>
            </w:r>
          </w:p>
        </w:tc>
      </w:tr>
      <w:tr>
        <w:tc>
          <w:tcPr>
            <w:tcW w:type="dxa" w:w="4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4</w:t>
            </w:r>
          </w:p>
        </w:tc>
        <w:tc>
          <w:tcPr>
            <w:tcW w:type="dxa" w:w="3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Identify Salesforce + IR contact; confirm what usage data already exists</w:t>
            </w:r>
          </w:p>
        </w:tc>
        <w:tc>
          <w:tcPr>
            <w:tcW w:type="dxa" w:w="21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Co-chairs</w:t>
            </w:r>
          </w:p>
        </w:tc>
        <w:tc>
          <w:tcPr>
            <w:tcW w:type="dxa" w:w="8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2–3</w:t>
            </w:r>
          </w:p>
        </w:tc>
        <w:tc>
          <w:tcPr>
            <w:tcW w:type="dxa" w:w="15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Jul 15</w:t>
            </w:r>
          </w:p>
        </w:tc>
      </w:tr>
      <w:tr>
        <w:tc>
          <w:tcPr>
            <w:tcW w:type="dxa" w:w="4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5</w:t>
            </w:r>
          </w:p>
        </w:tc>
        <w:tc>
          <w:tcPr>
            <w:tcW w:type="dxa" w:w="3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Build the Google Form from the blueprint</w:t>
            </w:r>
          </w:p>
        </w:tc>
        <w:tc>
          <w:tcPr>
            <w:tcW w:type="dxa" w:w="21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1 person or a student worker</w:t>
            </w:r>
          </w:p>
        </w:tc>
        <w:tc>
          <w:tcPr>
            <w:tcW w:type="dxa" w:w="8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1</w:t>
            </w:r>
          </w:p>
        </w:tc>
        <w:tc>
          <w:tcPr>
            <w:tcW w:type="dxa" w:w="15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Jul 31</w:t>
            </w:r>
          </w:p>
        </w:tc>
      </w:tr>
      <w:tr>
        <w:tc>
          <w:tcPr>
            <w:tcW w:type="dxa" w:w="4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6</w:t>
            </w:r>
          </w:p>
        </w:tc>
        <w:tc>
          <w:tcPr>
            <w:tcW w:type="dxa" w:w="3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Identify IT contact; set up 3 persona test accounts</w:t>
            </w:r>
          </w:p>
        </w:tc>
        <w:tc>
          <w:tcPr>
            <w:tcW w:type="dxa" w:w="21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Co-chairs / district IT</w:t>
            </w:r>
          </w:p>
        </w:tc>
        <w:tc>
          <w:tcPr>
            <w:tcW w:type="dxa" w:w="8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2</w:t>
            </w:r>
          </w:p>
        </w:tc>
        <w:tc>
          <w:tcPr>
            <w:tcW w:type="dxa" w:w="15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Aug 31</w:t>
            </w:r>
          </w:p>
        </w:tc>
      </w:tr>
      <w:tr>
        <w:tc>
          <w:tcPr>
            <w:tcW w:type="dxa" w:w="4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7</w:t>
            </w:r>
          </w:p>
        </w:tc>
        <w:tc>
          <w:tcPr>
            <w:tcW w:type="dxa" w:w="3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Draft &amp; send department-manager survey</w:t>
            </w:r>
          </w:p>
        </w:tc>
        <w:tc>
          <w:tcPr>
            <w:tcW w:type="dxa" w:w="21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Co-chairs</w:t>
            </w:r>
          </w:p>
        </w:tc>
        <w:tc>
          <w:tcPr>
            <w:tcW w:type="dxa" w:w="8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2</w:t>
            </w:r>
          </w:p>
        </w:tc>
        <w:tc>
          <w:tcPr>
            <w:tcW w:type="dxa" w:w="15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Aug 31</w:t>
            </w:r>
          </w:p>
        </w:tc>
      </w:tr>
      <w:tr>
        <w:tc>
          <w:tcPr>
            <w:tcW w:type="dxa" w:w="4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8</w:t>
            </w:r>
          </w:p>
        </w:tc>
        <w:tc>
          <w:tcPr>
            <w:tcW w:type="dxa" w:w="3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Stand up the Student AI Group via student government</w:t>
            </w:r>
          </w:p>
        </w:tc>
        <w:tc>
          <w:tcPr>
            <w:tcW w:type="dxa" w:w="21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Bridge members (sign-up)</w:t>
            </w:r>
          </w:p>
        </w:tc>
        <w:tc>
          <w:tcPr>
            <w:tcW w:type="dxa" w:w="8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3+</w:t>
            </w:r>
          </w:p>
        </w:tc>
        <w:tc>
          <w:tcPr>
            <w:tcW w:type="dxa" w:w="15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Aug 15</w:t>
            </w:r>
          </w:p>
        </w:tc>
      </w:tr>
      <w:tr>
        <w:tc>
          <w:tcPr>
            <w:tcW w:type="dxa" w:w="4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9</w:t>
            </w:r>
          </w:p>
        </w:tc>
        <w:tc>
          <w:tcPr>
            <w:tcW w:type="dxa" w:w="3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Decide ‘I am AI’ mascot form &amp; budget (possible student/AmeriCorps project)</w:t>
            </w:r>
          </w:p>
        </w:tc>
        <w:tc>
          <w:tcPr>
            <w:tcW w:type="dxa" w:w="21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Committee</w:t>
            </w:r>
          </w:p>
        </w:tc>
        <w:tc>
          <w:tcPr>
            <w:tcW w:type="dxa" w:w="8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whole group</w:t>
            </w:r>
          </w:p>
        </w:tc>
        <w:tc>
          <w:tcPr>
            <w:tcW w:type="dxa" w:w="15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Aug 31</w:t>
            </w:r>
          </w:p>
        </w:tc>
      </w:tr>
      <w:tr>
        <w:tc>
          <w:tcPr>
            <w:tcW w:type="dxa" w:w="4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10</w:t>
            </w:r>
          </w:p>
        </w:tc>
        <w:tc>
          <w:tcPr>
            <w:tcW w:type="dxa" w:w="3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Begin baseline utilization data collection</w:t>
            </w:r>
          </w:p>
        </w:tc>
        <w:tc>
          <w:tcPr>
            <w:tcW w:type="dxa" w:w="21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Reps + dept managers</w:t>
            </w:r>
          </w:p>
        </w:tc>
        <w:tc>
          <w:tcPr>
            <w:tcW w:type="dxa" w:w="8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10+</w:t>
            </w:r>
          </w:p>
        </w:tc>
        <w:tc>
          <w:tcPr>
            <w:tcW w:type="dxa" w:w="15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Aug–Sep</w:t>
            </w:r>
          </w:p>
        </w:tc>
      </w:tr>
      <w:tr>
        <w:tc>
          <w:tcPr>
            <w:tcW w:type="dxa" w:w="4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11</w:t>
            </w:r>
          </w:p>
        </w:tc>
        <w:tc>
          <w:tcPr>
            <w:tcW w:type="dxa" w:w="3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Dry-run the study with one friendly college + a few students</w:t>
            </w:r>
          </w:p>
        </w:tc>
        <w:tc>
          <w:tcPr>
            <w:tcW w:type="dxa" w:w="21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Sign-up team + students</w:t>
            </w:r>
          </w:p>
        </w:tc>
        <w:tc>
          <w:tcPr>
            <w:tcW w:type="dxa" w:w="8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5</w:t>
            </w:r>
          </w:p>
        </w:tc>
        <w:tc>
          <w:tcPr>
            <w:tcW w:type="dxa" w:w="15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Early Sep</w:t>
            </w:r>
          </w:p>
        </w:tc>
      </w:tr>
      <w:tr>
        <w:tc>
          <w:tcPr>
            <w:tcW w:type="dxa" w:w="4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12</w:t>
            </w:r>
          </w:p>
        </w:tc>
        <w:tc>
          <w:tcPr>
            <w:tcW w:type="dxa" w:w="3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Launch usability fieldwork at all 10 colleges</w:t>
            </w:r>
          </w:p>
        </w:tc>
        <w:tc>
          <w:tcPr>
            <w:tcW w:type="dxa" w:w="21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Reps + Student AI Group</w:t>
            </w:r>
          </w:p>
        </w:tc>
        <w:tc>
          <w:tcPr>
            <w:tcW w:type="dxa" w:w="8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20+</w:t>
            </w:r>
          </w:p>
        </w:tc>
        <w:tc>
          <w:tcPr>
            <w:tcW w:type="dxa" w:w="15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Sep–Nov</w:t>
            </w:r>
          </w:p>
        </w:tc>
      </w:tr>
      <w:tr>
        <w:tc>
          <w:tcPr>
            <w:tcW w:type="dxa" w:w="400"/>
            <w:tcBorders>
              <w:top w:val="single" w:color="CCCCCC" w:sz="1"/>
              <w:left w:val="single" w:color="CCCCCC" w:sz="1"/>
              <w:bottom w:val="single" w:color="CCCCCC" w:sz="1"/>
              <w:right w:val="single" w:color="CCCCCC" w:sz="1"/>
            </w:tcBorders>
            <w:shd w:fill="F2ECF1" w:val="clear"/>
            <w:tcMar>
              <w:top w:type="dxa" w:w="50"/>
              <w:left w:type="dxa" w:w="90"/>
              <w:bottom w:type="dxa" w:w="50"/>
              <w:right w:type="dxa" w:w="90"/>
            </w:tcMar>
          </w:tcPr>
          <w:p>
            <w:r>
              <w:rPr>
                <w:b/>
                <w:bCs/>
                <w:color w:val="2B2B2B"/>
                <w:sz w:val="19"/>
                <w:szCs w:val="19"/>
              </w:rPr>
              <w:t xml:space="preserve">13</w:t>
            </w:r>
          </w:p>
        </w:tc>
        <w:tc>
          <w:tcPr>
            <w:tcW w:type="dxa" w:w="39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Literature scan: other districts’ AI in student services</w:t>
            </w:r>
          </w:p>
        </w:tc>
        <w:tc>
          <w:tcPr>
            <w:tcW w:type="dxa" w:w="21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1–2 members / a student</w:t>
            </w:r>
          </w:p>
        </w:tc>
        <w:tc>
          <w:tcPr>
            <w:tcW w:type="dxa" w:w="8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2</w:t>
            </w:r>
          </w:p>
        </w:tc>
        <w:tc>
          <w:tcPr>
            <w:tcW w:type="dxa" w:w="156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color w:val="2B2B2B"/>
                <w:sz w:val="19"/>
                <w:szCs w:val="19"/>
              </w:rPr>
              <w:t xml:space="preserve">Summer</w:t>
            </w:r>
          </w:p>
        </w:tc>
      </w:tr>
    </w:tbl>
    <w:p>
      <w:pPr>
        <w:pStyle w:val="Heading1"/>
      </w:pPr>
      <w:r>
        <w:rPr>
          <w:color w:val="6B3A5B"/>
        </w:rPr>
        <w:t xml:space="preserve">Principles that run through every initiative</w:t>
      </w:r>
    </w:p>
    <w:p>
      <w:pPr>
        <w:pStyle w:val="ListParagraph"/>
        <w:numPr>
          <w:ilvl w:val="0"/>
          <w:numId w:val="2"/>
        </w:numPr>
        <w:spacing w:after="60"/>
      </w:pPr>
      <w:r>
        <w:rPr>
          <w:b/>
          <w:bCs/>
        </w:rPr>
        <w:t xml:space="preserve">AI as scaffolding, not replacement. </w:t>
      </w:r>
      <w:r>
        <w:t xml:space="preserve">Humans still decide; AI helps students navigate and frees staff time.</w:t>
      </w:r>
    </w:p>
    <w:p>
      <w:pPr>
        <w:pStyle w:val="ListParagraph"/>
        <w:numPr>
          <w:ilvl w:val="0"/>
          <w:numId w:val="2"/>
        </w:numPr>
        <w:spacing w:after="60"/>
      </w:pPr>
      <w:r>
        <w:rPr>
          <w:b/>
          <w:bCs/>
        </w:rPr>
        <w:t xml:space="preserve">Translate, do not standardize. </w:t>
      </w:r>
      <w:r>
        <w:t xml:space="preserve">Each college keeps its own programs and names; we map between them, we never ask them to align.</w:t>
      </w:r>
    </w:p>
    <w:p>
      <w:pPr>
        <w:pStyle w:val="ListParagraph"/>
        <w:numPr>
          <w:ilvl w:val="0"/>
          <w:numId w:val="2"/>
        </w:numPr>
        <w:spacing w:after="60"/>
      </w:pPr>
      <w:r>
        <w:rPr>
          <w:b/>
          <w:bCs/>
        </w:rPr>
        <w:t xml:space="preserve">Students and staff are co-designers. </w:t>
      </w:r>
      <w:r>
        <w:t xml:space="preserve">Nothing is built for them without them.</w:t>
      </w:r>
    </w:p>
    <w:p>
      <w:pPr>
        <w:pStyle w:val="ListParagraph"/>
        <w:numPr>
          <w:ilvl w:val="0"/>
          <w:numId w:val="2"/>
        </w:numPr>
        <w:spacing w:after="60"/>
      </w:pPr>
      <w:r>
        <w:rPr>
          <w:b/>
          <w:bCs/>
        </w:rPr>
        <w:t xml:space="preserve">No PII, minimum data. </w:t>
      </w:r>
      <w:r>
        <w:t xml:space="preserve">Test accounts and anonymized aggregates.</w:t>
      </w:r>
    </w:p>
    <w:p>
      <w:pPr>
        <w:pStyle w:val="ListParagraph"/>
        <w:numPr>
          <w:ilvl w:val="0"/>
          <w:numId w:val="2"/>
        </w:numPr>
        <w:spacing w:after="60"/>
      </w:pPr>
      <w:r>
        <w:rPr>
          <w:b/>
          <w:bCs/>
        </w:rPr>
        <w:t xml:space="preserve">Human contact is the metric. </w:t>
      </w:r>
      <w:r>
        <w:t xml:space="preserve">If a tool shrinks human contact, we drop it.</w:t>
      </w:r>
    </w:p>
    <w:p>
      <w:pPr>
        <w:pStyle w:val="ListParagraph"/>
        <w:numPr>
          <w:ilvl w:val="0"/>
          <w:numId w:val="2"/>
        </w:numPr>
        <w:spacing w:after="60"/>
      </w:pPr>
      <w:r>
        <w:rPr>
          <w:b/>
          <w:bCs/>
        </w:rPr>
        <w:t xml:space="preserve">Iterate and hand off. </w:t>
      </w:r>
      <w:r>
        <w:t xml:space="preserve">Release in pieces with feedback loops; document so the work outlives the group.</w:t>
      </w:r>
    </w:p>
    <w:p>
      <w:pPr>
        <w:pStyle w:val="Heading1"/>
      </w:pPr>
      <w:r>
        <w:rPr>
          <w:color w:val="6B3A5B"/>
        </w:rPr>
        <w:t xml:space="preserve">Companion documents</w:t>
      </w:r>
    </w:p>
    <w:p>
      <w:pPr>
        <w:pStyle w:val="ListParagraph"/>
        <w:numPr>
          <w:ilvl w:val="0"/>
          <w:numId w:val="2"/>
        </w:numPr>
        <w:spacing w:after="60"/>
      </w:pPr>
      <w:r>
        <w:rPr>
          <w:b/>
          <w:bCs/>
        </w:rPr>
        <w:t xml:space="preserve">Maricopa_Student_Journey_Study_Kit.xlsx — </w:t>
      </w:r>
      <w:r>
        <w:t xml:space="preserve">the operational kit for P2: personas, the branching scenario roadmap (problems not destinations; Canvas; swirling; offboarding), per-college run instructions, the 10-college crosswalk answer key, district tools, the barrier log, the AI opportunity map, and a roadmap/to-do tracker tab.</w:t>
      </w:r>
    </w:p>
    <w:p>
      <w:pPr>
        <w:pStyle w:val="ListParagraph"/>
        <w:numPr>
          <w:ilvl w:val="0"/>
          <w:numId w:val="2"/>
        </w:numPr>
        <w:spacing w:after="60"/>
      </w:pPr>
      <w:r>
        <w:rPr>
          <w:b/>
          <w:bCs/>
        </w:rPr>
        <w:t xml:space="preserve">Student_Journey_Form_Blueprint — </w:t>
      </w:r>
      <w:r>
        <w:t xml:space="preserve">build-ready Google Form spec; the Form is the testing instrument and feeds a live Google Sheet that maps onto the barrier log.</w:t>
      </w:r>
    </w:p>
    <w:p>
      <w:pPr>
        <w:spacing w:after="120" w:line="276"/>
      </w:pPr>
      <w:r>
        <w:rPr>
          <w:i/>
          <w:iCs/>
          <w:color w:val="6A6A6A"/>
        </w:rPr>
        <w:t xml:space="preserve">This plan is a starting point for committee work, not a finished product — to be corrected and expanded by the people who do the work, and by the students it is for.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A6A"/>
        <w:sz w:val="16"/>
        <w:szCs w:val="16"/>
      </w:rPr>
      <w:t xml:space="preserve">ARC Domain 5 — Student Support &amp; Success Domain Group Plan  ·  DRAFT v0.3  ·  Page </w:t>
    </w:r>
    <w:r>
      <w:rPr>
        <w:color w:val="6A6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CCD4" w:sz="6" w:space="4"/>
      </w:pBdr>
      <w:spacing w:after="140" w:before="300"/>
      <w:outlineLvl w:val="0"/>
    </w:pPr>
    <w:rPr>
      <w:rFonts w:ascii="Calibri" w:cs="Calibri" w:eastAsia="Calibri" w:hAnsi="Calibri"/>
      <w:b/>
      <w:bCs/>
      <w:color w:val="6B3A5B"/>
      <w:sz w:val="29"/>
      <w:szCs w:val="29"/>
    </w:rPr>
  </w:style>
  <w:style w:type="paragraph" w:styleId="Heading3">
    <w:name w:val="Heading 3"/>
    <w:basedOn w:val="Normal"/>
    <w:next w:val="Normal"/>
    <w:qFormat/>
    <w:pPr>
      <w:spacing w:after="70" w:before="160"/>
      <w:outlineLvl w:val="2"/>
    </w:pPr>
    <w:rPr>
      <w:rFonts w:ascii="Calibri" w:cs="Calibri" w:eastAsia="Calibri" w:hAnsi="Calibri"/>
      <w:b/>
      <w:bCs/>
      <w:color w:val="9C5B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67xgaxrjn2ypmd5pkztm" Type="http://schemas.openxmlformats.org/officeDocument/2006/relationships/hyperlink" Target="https://drive.google.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 Domain 5 Student Support &amp; Success — Domain Group Plan</dc:title>
  <dc:creator>Michelle Blomberg</dc:creator>
  <cp:lastModifiedBy>Un-named</cp:lastModifiedBy>
  <cp:revision>1</cp:revision>
  <dcterms:created xsi:type="dcterms:W3CDTF">2026-06-13T17:02:49.433Z</dcterms:created>
  <dcterms:modified xsi:type="dcterms:W3CDTF">2026-06-13T17:02:49.433Z</dcterms:modified>
</cp:coreProperties>
</file>

<file path=docProps/custom.xml><?xml version="1.0" encoding="utf-8"?>
<Properties xmlns="http://schemas.openxmlformats.org/officeDocument/2006/custom-properties" xmlns:vt="http://schemas.openxmlformats.org/officeDocument/2006/docPropsVTypes"/>
</file>