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8a7e7a"/>
          <w:spacing w:val="60"/>
          <w:sz w:val="28"/>
          <w:szCs w:val="28"/>
        </w:rPr>
        <w:t xml:space="preserve">Product Requirements Document</w:t>
      </w:r>
    </w:p>
    <w:p>
      <w:pPr>
        <w:pBdr>
          <w:bottom w:val="single" w:color="7a5080" w:sz="12" w:space="6"/>
        </w:pBdr>
        <w:spacing w:before="0" w:after="160"/>
      </w:pPr>
      <w:r>
        <w:rPr>
          <w:rFonts w:ascii="Arial" w:cs="Arial" w:eastAsia="Arial" w:hAnsi="Arial"/>
          <w:b/>
          <w:bCs/>
          <w:color w:val="7a5080"/>
          <w:sz w:val="48"/>
          <w:szCs w:val="48"/>
        </w:rPr>
        <w:t xml:space="preserve">Cultivate — GCC AI Professional Development Dashboard</w:t>
      </w:r>
    </w:p>
    <w:p>
      <w:pPr>
        <w:spacing w:before="0" w:after="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Product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Cultivate — GCC AI Professional Development Dashboard</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Document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Product Requirements Document (PRD)</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v1.2 — Download state, link checker, card/source cleanup</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Michelle Blomberg, Digital Media Arts Faculty, GCC</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March 8, 2026</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Shipped — v1.0 complete, iteration in progress</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Delivery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Static HTML/CSS/JS · GitHub Pages · No backend required</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Primary User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GCC faculty member · AI Community of Practice builder · sabbatical candidate</w:t>
            </w:r>
          </w:p>
        </w:tc>
      </w:tr>
    </w:tbl>
    <w:p>
      <w:pPr>
        <w:spacing w:before="0" w:after="160"/>
      </w:pPr>
      <w:r>
        <w:t xml:space="preserve"/>
      </w:r>
    </w:p>
    <w:p>
      <w:pPr>
        <w:spacing w:before="0" w:after="120"/>
        <w:jc w:val="left"/>
      </w:pPr>
      <w:r>
        <w:rPr>
          <w:rFonts w:ascii="Arial" w:cs="Arial" w:eastAsia="Arial" w:hAnsi="Arial"/>
          <w:b w:val="false"/>
          <w:bCs w:val="false"/>
          <w:i w:val="false"/>
          <w:iCs w:val="false"/>
          <w:color w:val="3a2e3f"/>
          <w:sz w:val="22"/>
          <w:szCs w:val="22"/>
        </w:rPr>
        <w:t xml:space="preserve">This document defines the product requirements for Cultivate (GCC AI Professional Development Dashboard), a personal productivity and planning tool built for a single faculty member at Glendale Community College. The dashboard spans six interconnected HTML pages, designed to manage professional development goals, conference submissions, sabbatical proposal work, and career transition planning across a 2026–2028 timeline.</w:t>
      </w:r>
    </w:p>
    <w:p>
      <w:pPr>
        <w:spacing w:before="0" w:after="200"/>
        <w:jc w:val="left"/>
      </w:pPr>
      <w:r>
        <w:rPr>
          <w:rFonts w:ascii="Arial" w:cs="Arial" w:eastAsia="Arial" w:hAnsi="Arial"/>
          <w:b w:val="false"/>
          <w:bCs w:val="false"/>
          <w:i w:val="false"/>
          <w:iCs w:val="false"/>
          <w:color w:val="3a2e3f"/>
          <w:sz w:val="22"/>
          <w:szCs w:val="22"/>
        </w:rPr>
        <w:t xml:space="preserve">This PRD documents the shipped v1.0 product. It is intended to serve as a reference for adapting this system to different audiences, institutions, or use cases.</w:t>
      </w:r>
    </w:p>
    <w:p>
      <w:r>
        <w:br w:type="page"/>
      </w:r>
    </w:p>
    <w:p>
      <w:pPr>
        <w:pStyle w:val="Heading1"/>
        <w:pBdr>
          <w:bottom w:val="single" w:color="7a5080" w:sz="6" w:space="4"/>
        </w:pBdr>
        <w:spacing w:before="360" w:after="160"/>
      </w:pPr>
      <w:r>
        <w:rPr>
          <w:rFonts w:ascii="Arial" w:cs="Arial" w:eastAsia="Arial" w:hAnsi="Arial"/>
          <w:b/>
          <w:bCs/>
          <w:color w:val="7a5080"/>
          <w:sz w:val="32"/>
          <w:szCs w:val="32"/>
        </w:rPr>
        <w:t xml:space="preserve">1. Executive Summary</w:t>
      </w:r>
    </w:p>
    <w:p>
      <w:pPr>
        <w:spacing w:before="0" w:after="120"/>
        <w:jc w:val="left"/>
      </w:pPr>
      <w:r>
        <w:rPr>
          <w:rFonts w:ascii="Arial" w:cs="Arial" w:eastAsia="Arial" w:hAnsi="Arial"/>
          <w:b w:val="false"/>
          <w:bCs w:val="false"/>
          <w:i w:val="false"/>
          <w:iCs w:val="false"/>
          <w:color w:val="3a2e3f"/>
          <w:sz w:val="22"/>
          <w:szCs w:val="22"/>
        </w:rPr>
        <w:t xml:space="preserve">Cultivate is a zero-dependency personal productivity system built for a community college faculty member navigating a complex, multi-year professional development plan. It replaces scattered notes, bookmarks, and calendar reminders with a single, always-accessible hub that surfaces the right information at the right time.</w:t>
      </w:r>
    </w:p>
    <w:p>
      <w:pPr>
        <w:spacing w:before="0" w:after="80"/>
      </w:pPr>
      <w:r>
        <w:t xml:space="preserve"/>
      </w:r>
    </w:p>
    <w:p>
      <w:pPr>
        <w:spacing w:before="0" w:after="120"/>
        <w:jc w:val="left"/>
      </w:pPr>
      <w:r>
        <w:rPr>
          <w:rFonts w:ascii="Arial" w:cs="Arial" w:eastAsia="Arial" w:hAnsi="Arial"/>
          <w:b w:val="false"/>
          <w:bCs w:val="false"/>
          <w:i w:val="false"/>
          <w:iCs w:val="false"/>
          <w:color w:val="3a2e3f"/>
          <w:sz w:val="22"/>
          <w:szCs w:val="22"/>
        </w:rPr>
        <w:t xml:space="preserve">The core problem it solves: faculty pursuing serious professional development goals — sabbaticals, conference proposals, new course development, community of practice leadership — have no purpose-built tool that connects their daily tasks to their long-term strategy. General productivity tools (Notion, Google Docs, calendar apps) require too much overhead and do not surface institutional context (deadlines, rubrics, scoring criteria) alongside actionable next steps.</w:t>
      </w:r>
    </w:p>
    <w:p>
      <w:pPr>
        <w:spacing w:before="0" w:after="80"/>
      </w:pPr>
      <w:r>
        <w:t xml:space="preserve"/>
      </w:r>
    </w:p>
    <w:p>
      <w:pPr>
        <w:spacing w:before="0" w:after="120"/>
        <w:jc w:val="left"/>
      </w:pPr>
      <w:r>
        <w:rPr>
          <w:rFonts w:ascii="Arial" w:cs="Arial" w:eastAsia="Arial" w:hAnsi="Arial"/>
          <w:b w:val="false"/>
          <w:bCs w:val="false"/>
          <w:i w:val="false"/>
          <w:iCs w:val="false"/>
          <w:color w:val="3a2e3f"/>
          <w:sz w:val="22"/>
          <w:szCs w:val="22"/>
        </w:rPr>
        <w:t xml:space="preserve">This dashboard was purpose-built to hold:</w:t>
      </w:r>
    </w:p>
    <w:p>
      <w:pPr>
        <w:pStyle w:val="ListParagraph"/>
        <w:numPr>
          <w:ilvl w:val="0"/>
          <w:numId w:val="2"/>
        </w:numPr>
        <w:spacing w:before="0" w:after="80"/>
      </w:pPr>
      <w:r>
        <w:rPr>
          <w:rFonts w:ascii="Arial" w:cs="Arial" w:eastAsia="Arial" w:hAnsi="Arial"/>
          <w:color w:val="3a2e3f"/>
          <w:sz w:val="22"/>
          <w:szCs w:val="22"/>
        </w:rPr>
        <w:t xml:space="preserve">All curated learning resources in one place (courses, videos, articles, conferences)</w:t>
      </w:r>
    </w:p>
    <w:p>
      <w:pPr>
        <w:pStyle w:val="ListParagraph"/>
        <w:numPr>
          <w:ilvl w:val="0"/>
          <w:numId w:val="2"/>
        </w:numPr>
        <w:spacing w:before="0" w:after="80"/>
      </w:pPr>
      <w:r>
        <w:rPr>
          <w:rFonts w:ascii="Arial" w:cs="Arial" w:eastAsia="Arial" w:hAnsi="Arial"/>
          <w:color w:val="3a2e3f"/>
          <w:sz w:val="22"/>
          <w:szCs w:val="22"/>
        </w:rPr>
        <w:t xml:space="preserve">A real-time news feed pulling from 56 RSS sources. ALL sources are fetched for every tab — the keyword classifier routes each article to the most relevant tab. homeTab is a tiebreaker only.</w:t>
      </w:r>
    </w:p>
    <w:p>
      <w:pPr>
        <w:pStyle w:val="ListParagraph"/>
        <w:numPr>
          <w:ilvl w:val="0"/>
          <w:numId w:val="2"/>
        </w:numPr>
        <w:spacing w:before="0" w:after="80"/>
      </w:pPr>
      <w:r>
        <w:rPr>
          <w:rFonts w:ascii="Arial" w:cs="Arial" w:eastAsia="Arial" w:hAnsi="Arial"/>
          <w:color w:val="3a2e3f"/>
          <w:sz w:val="22"/>
          <w:szCs w:val="22"/>
        </w:rPr>
        <w:t xml:space="preserve">A priority-ordered 9-step PD roadmap with real target dates and persistent checkbox state</w:t>
      </w:r>
    </w:p>
    <w:p>
      <w:pPr>
        <w:pStyle w:val="ListParagraph"/>
        <w:numPr>
          <w:ilvl w:val="0"/>
          <w:numId w:val="2"/>
        </w:numPr>
        <w:spacing w:before="0" w:after="80"/>
      </w:pPr>
      <w:r>
        <w:rPr>
          <w:rFonts w:ascii="Arial" w:cs="Arial" w:eastAsia="Arial" w:hAnsi="Arial"/>
          <w:color w:val="3a2e3f"/>
          <w:sz w:val="22"/>
          <w:szCs w:val="22"/>
        </w:rPr>
        <w:t xml:space="preserve">A full sabbatical proposal workspace including the evaluation rubric, draft content, submission checklist, and preplanning tracker</w:t>
      </w:r>
    </w:p>
    <w:p>
      <w:pPr>
        <w:pStyle w:val="ListParagraph"/>
        <w:numPr>
          <w:ilvl w:val="0"/>
          <w:numId w:val="2"/>
        </w:numPr>
        <w:spacing w:before="0" w:after="80"/>
      </w:pPr>
      <w:r>
        <w:rPr>
          <w:rFonts w:ascii="Arial" w:cs="Arial" w:eastAsia="Arial" w:hAnsi="Arial"/>
          <w:color w:val="3a2e3f"/>
          <w:sz w:val="22"/>
          <w:szCs w:val="22"/>
        </w:rPr>
        <w:t xml:space="preserve">A conference proposal page with session abstract, prep checklist, and key dates</w:t>
      </w:r>
    </w:p>
    <w:p>
      <w:pPr>
        <w:pStyle w:val="ListParagraph"/>
        <w:numPr>
          <w:ilvl w:val="0"/>
          <w:numId w:val="2"/>
        </w:numPr>
        <w:spacing w:before="0" w:after="80"/>
      </w:pPr>
      <w:r>
        <w:rPr>
          <w:rFonts w:ascii="Arial" w:cs="Arial" w:eastAsia="Arial" w:hAnsi="Arial"/>
          <w:color w:val="3a2e3f"/>
          <w:sz w:val="22"/>
          <w:szCs w:val="22"/>
        </w:rPr>
        <w:t xml:space="preserve">A live log of completed PD activities with CSV export</w:t>
      </w:r>
    </w:p>
    <w:p>
      <w:pPr>
        <w:pStyle w:val="ListParagraph"/>
        <w:numPr>
          <w:ilvl w:val="0"/>
          <w:numId w:val="2"/>
        </w:numPr>
        <w:spacing w:before="0" w:after="80"/>
      </w:pPr>
      <w:r>
        <w:rPr>
          <w:rFonts w:ascii="Arial" w:cs="Arial" w:eastAsia="Arial" w:hAnsi="Arial"/>
          <w:color w:val="3a2e3f"/>
          <w:sz w:val="22"/>
          <w:szCs w:val="22"/>
        </w:rPr>
        <w:t xml:space="preserve">A UX/design reference toolkit for career transition work</w:t>
      </w:r>
    </w:p>
    <w:p>
      <w:pPr>
        <w:spacing w:before="0" w:after="160"/>
      </w:pPr>
      <w:r>
        <w:t xml:space="preserve"/>
      </w:r>
    </w:p>
    <w:p>
      <w:pPr>
        <w:pStyle w:val="Heading1"/>
        <w:pBdr>
          <w:bottom w:val="single" w:color="7a5080" w:sz="6" w:space="4"/>
        </w:pBdr>
        <w:spacing w:before="360" w:after="160"/>
      </w:pPr>
      <w:r>
        <w:rPr>
          <w:rFonts w:ascii="Arial" w:cs="Arial" w:eastAsia="Arial" w:hAnsi="Arial"/>
          <w:b/>
          <w:bCs/>
          <w:color w:val="7a5080"/>
          <w:sz w:val="32"/>
          <w:szCs w:val="32"/>
        </w:rPr>
        <w:t xml:space="preserve">2. Product Goals &amp; Success Metrics</w:t>
      </w:r>
    </w:p>
    <w:p>
      <w:pPr>
        <w:pStyle w:val="Heading2"/>
        <w:spacing w:before="280" w:after="120"/>
      </w:pPr>
      <w:r>
        <w:rPr>
          <w:rFonts w:ascii="Arial" w:cs="Arial" w:eastAsia="Arial" w:hAnsi="Arial"/>
          <w:b/>
          <w:bCs/>
          <w:color w:val="7a5080"/>
          <w:sz w:val="26"/>
          <w:szCs w:val="26"/>
        </w:rPr>
        <w:t xml:space="preserve">2.1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800"/>
        <w:gridCol w:w="1960"/>
      </w:tblGrid>
      <w:tr>
        <w:tc>
          <w:tcPr>
            <w:tcW w:type="dxa" w:w="4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22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48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9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r>
      <w:tr>
        <w:tc>
          <w:tcPr>
            <w:tcW w:type="dxa" w:w="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Single source of truth</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Consolidate all PD resources, plans, and deadlines into one system accessible from any device</w:t>
            </w:r>
          </w:p>
        </w:tc>
        <w:tc>
          <w:tcPr>
            <w:tcW w:type="dxa" w:w="1960"/>
            <w:tcBorders>
              <w:top w:val="single" w:color="CCCCCC" w:sz="1"/>
              <w:left w:val="single" w:color="CCCCCC" w:sz="1"/>
              <w:bottom w:val="single" w:color="CCCCCC" w:sz="1"/>
              <w:right w:val="single" w:color="CCCCCC" w:sz="1"/>
            </w:tcBorders>
            <w:shd w:fill="e4ede5"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6 pages functional; no broken links</w:t>
            </w:r>
          </w:p>
        </w:tc>
      </w:tr>
      <w:tr>
        <w:tc>
          <w:tcPr>
            <w:tcW w:type="dxa" w:w="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Deadline visibility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Surface time-sensitive deadlines (Mesa CFP Mar 23; Sabbatical Oct 1) prominently with visual urgency indicators</w:t>
            </w:r>
          </w:p>
        </w:tc>
        <w:tc>
          <w:tcPr>
            <w:tcW w:type="dxa" w:w="1960"/>
            <w:tcBorders>
              <w:top w:val="single" w:color="CCCCCC" w:sz="1"/>
              <w:left w:val="single" w:color="CCCCCC" w:sz="1"/>
              <w:bottom w:val="single" w:color="CCCCCC" w:sz="1"/>
              <w:right w:val="single" w:color="CCCCCC" w:sz="1"/>
            </w:tcBorders>
            <w:shd w:fill="e4ede5"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 warnings visible on hub + plan</w:t>
            </w:r>
          </w:p>
        </w:tc>
      </w:tr>
      <w:tr>
        <w:tc>
          <w:tcPr>
            <w:tcW w:type="dxa" w:w="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Persistent progress state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Checkbox completion state survives browser sessions without a login or backend</w:t>
            </w:r>
          </w:p>
        </w:tc>
        <w:tc>
          <w:tcPr>
            <w:tcW w:type="dxa" w:w="1960"/>
            <w:tcBorders>
              <w:top w:val="single" w:color="CCCCCC" w:sz="1"/>
              <w:left w:val="single" w:color="CCCCCC" w:sz="1"/>
              <w:bottom w:val="single" w:color="CCCCCC" w:sz="1"/>
              <w:right w:val="single" w:color="CCCCCC" w:sz="1"/>
            </w:tcBorders>
            <w:shd w:fill="e4ede5"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localStorage persists across sessions</w:t>
            </w:r>
          </w:p>
        </w:tc>
      </w:tr>
      <w:tr>
        <w:tc>
          <w:tcPr>
            <w:tcW w:type="dxa" w:w="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Sabbatical readiness</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Provide the complete FPG rubric, scoring breakdown, draft workspace, and submission checklist in one place — no separate docs</w:t>
            </w:r>
          </w:p>
        </w:tc>
        <w:tc>
          <w:tcPr>
            <w:tcW w:type="dxa" w:w="1960"/>
            <w:tcBorders>
              <w:top w:val="single" w:color="CCCCCC" w:sz="1"/>
              <w:left w:val="single" w:color="CCCCCC" w:sz="1"/>
              <w:bottom w:val="single" w:color="CCCCCC" w:sz="1"/>
              <w:right w:val="single" w:color="CCCCCC" w:sz="1"/>
            </w:tcBorders>
            <w:shd w:fill="e4ede5"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14-item checklist complete by Oct 1</w:t>
            </w:r>
          </w:p>
        </w:tc>
      </w:tr>
      <w:tr>
        <w:tc>
          <w:tcPr>
            <w:tcW w:type="dxa" w:w="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Zero-dependency portability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Ship as static HTML files deployable to GitHub Pages with no build step, server, or login</w:t>
            </w:r>
          </w:p>
        </w:tc>
        <w:tc>
          <w:tcPr>
            <w:tcW w:type="dxa" w:w="1960"/>
            <w:tcBorders>
              <w:top w:val="single" w:color="CCCCCC" w:sz="1"/>
              <w:left w:val="single" w:color="CCCCCC" w:sz="1"/>
              <w:bottom w:val="single" w:color="CCCCCC" w:sz="1"/>
              <w:right w:val="single" w:color="CCCCCC" w:sz="1"/>
            </w:tcBorders>
            <w:shd w:fill="e4ede5"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Works offline; deploys via git push</w:t>
            </w:r>
          </w:p>
        </w:tc>
      </w:tr>
      <w:tr>
        <w:tc>
          <w:tcPr>
            <w:tcW w:type="dxa" w:w="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Professional design system</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Consistent typography, color palette, and navigation across all 6 pages so the tool feels like a product, not a prototype</w:t>
            </w:r>
          </w:p>
        </w:tc>
        <w:tc>
          <w:tcPr>
            <w:tcW w:type="dxa" w:w="1960"/>
            <w:tcBorders>
              <w:top w:val="single" w:color="CCCCCC" w:sz="1"/>
              <w:left w:val="single" w:color="CCCCCC" w:sz="1"/>
              <w:bottom w:val="single" w:color="CCCCCC" w:sz="1"/>
              <w:right w:val="single" w:color="CCCCCC" w:sz="1"/>
            </w:tcBorders>
            <w:shd w:fill="e4ede5"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Shared :root vars; identical header on all pages</w:t>
            </w:r>
          </w:p>
        </w:tc>
      </w:tr>
    </w:tbl>
    <w:p>
      <w:pPr>
        <w:spacing w:before="0" w:after="160"/>
      </w:pPr>
      <w:r>
        <w:t xml:space="preserve"/>
      </w:r>
    </w:p>
    <w:p>
      <w:pPr>
        <w:pStyle w:val="Heading1"/>
        <w:pBdr>
          <w:bottom w:val="single" w:color="7a5080" w:sz="6" w:space="4"/>
        </w:pBdr>
        <w:spacing w:before="360" w:after="160"/>
      </w:pPr>
      <w:r>
        <w:rPr>
          <w:rFonts w:ascii="Arial" w:cs="Arial" w:eastAsia="Arial" w:hAnsi="Arial"/>
          <w:b/>
          <w:bCs/>
          <w:color w:val="7a5080"/>
          <w:sz w:val="32"/>
          <w:szCs w:val="32"/>
        </w:rPr>
        <w:t xml:space="preserve">3. Users &amp; Personas</w:t>
      </w:r>
    </w:p>
    <w:p>
      <w:pPr>
        <w:pStyle w:val="Heading2"/>
        <w:spacing w:before="280" w:after="120"/>
      </w:pPr>
      <w:r>
        <w:rPr>
          <w:rFonts w:ascii="Arial" w:cs="Arial" w:eastAsia="Arial" w:hAnsi="Arial"/>
          <w:b/>
          <w:bCs/>
          <w:color w:val="7a5080"/>
          <w:sz w:val="26"/>
          <w:szCs w:val="26"/>
        </w:rPr>
        <w:t xml:space="preserve">3.1 Primary User</w:t>
      </w:r>
    </w:p>
    <w:p>
      <w:pPr>
        <w:spacing w:before="0" w:after="120"/>
        <w:jc w:val="left"/>
      </w:pPr>
      <w:r>
        <w:rPr>
          <w:rFonts w:ascii="Arial" w:cs="Arial" w:eastAsia="Arial" w:hAnsi="Arial"/>
          <w:b w:val="false"/>
          <w:bCs w:val="false"/>
          <w:i w:val="false"/>
          <w:iCs w:val="false"/>
          <w:color w:val="3a2e3f"/>
          <w:sz w:val="22"/>
          <w:szCs w:val="22"/>
        </w:rPr>
        <w:t xml:space="preserve">This v1.0 product was designed for a single primary user. Understanding this persona is essential when adapting the system for a different audience.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Attribute</w:t>
            </w:r>
          </w:p>
        </w:tc>
        <w:tc>
          <w:tcPr>
            <w:tcW w:type="dxa" w:w="71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Michelle Blomberg</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Role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Digital Media Arts Faculty, Glendale Community College (GCC), Maricopa District, Arizona</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Goals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Build AI Community of Practice at GCC; secure sabbatical leave (AY 2027-28); develop AI + student success tools; transition to EdTech PM role by May 2028</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Pain Points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No institutional tool to track professional development; key deadlines scattered across email and calendar; sabbatical rubric and draft content living in separate documents; no system for logging completed activities</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Technical Context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Uses Canvas LMS; accesses tool primarily via iPad and laptop; comfortable with HTML/GitHub Pages deployment; uses Claude for AI-assisted development</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Time Horizon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March 2026 — May 2028 (26 months)</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3.2 Adaptation Notes — Who Else Could Use This System?</w:t>
      </w:r>
    </w:p>
    <w:p>
      <w:pPr>
        <w:spacing w:before="0" w:after="120"/>
        <w:jc w:val="left"/>
      </w:pPr>
      <w:r>
        <w:rPr>
          <w:rFonts w:ascii="Arial" w:cs="Arial" w:eastAsia="Arial" w:hAnsi="Arial"/>
          <w:b w:val="false"/>
          <w:bCs w:val="false"/>
          <w:i w:val="false"/>
          <w:iCs w:val="false"/>
          <w:color w:val="3a2e3f"/>
          <w:sz w:val="22"/>
          <w:szCs w:val="22"/>
        </w:rPr>
        <w:t xml:space="preserve">This architecture is designed to adapt. Below are the key variables to change when rebuilding for a different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Variable</w:t>
            </w:r>
          </w:p>
        </w:tc>
        <w:tc>
          <w:tcPr>
            <w:tcW w:type="dxa" w:w="348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This Product</w:t>
            </w:r>
          </w:p>
        </w:tc>
        <w:tc>
          <w:tcPr>
            <w:tcW w:type="dxa" w:w="348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What to Change</w:t>
            </w:r>
          </w:p>
        </w:tc>
      </w:tr>
      <w:tr>
        <w:tc>
          <w:tcPr>
            <w:tcW w:type="dxa" w:w="24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Audience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Single faculty member</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Team, department, student cohort, new hire cohort</w:t>
            </w:r>
          </w:p>
        </w:tc>
      </w:tr>
      <w:tr>
        <w:tc>
          <w:tcPr>
            <w:tcW w:type="dxa" w:w="24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Goal type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Professional development + sabbatical</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Onboarding, course completion, career readiness, job search</w:t>
            </w:r>
          </w:p>
        </w:tc>
      </w:tr>
      <w:tr>
        <w:tc>
          <w:tcPr>
            <w:tcW w:type="dxa" w:w="24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Time horizon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26 months (2026–2028)</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Semester, academic year, program duration</w:t>
            </w:r>
          </w:p>
        </w:tc>
      </w:tr>
      <w:tr>
        <w:tc>
          <w:tcPr>
            <w:tcW w:type="dxa" w:w="24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Deadlines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Mesa CFP Mar 23; Sabbatical Oct 1</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Course due dates, application deadlines, cohort milestones</w:t>
            </w:r>
          </w:p>
        </w:tc>
      </w:tr>
      <w:tr>
        <w:tc>
          <w:tcPr>
            <w:tcW w:type="dxa" w:w="24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Resource types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Courses, videos, articles, conferences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Tutorials, job postings, portfolio prompts, mentors</w:t>
            </w:r>
          </w:p>
        </w:tc>
      </w:tr>
      <w:tr>
        <w:tc>
          <w:tcPr>
            <w:tcW w:type="dxa" w:w="24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Persistence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localStorage (single user, no login)</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If multi-user: add auth + database backend</w:t>
            </w:r>
          </w:p>
        </w:tc>
      </w:tr>
      <w:tr>
        <w:tc>
          <w:tcPr>
            <w:tcW w:type="dxa" w:w="24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Hosting</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GitHub Pages (free, static)</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Same, or LMS integration (Canvas), or internal server</w:t>
            </w:r>
          </w:p>
        </w:tc>
      </w:tr>
    </w:tbl>
    <w:p>
      <w:pPr>
        <w:spacing w:before="0" w:after="160"/>
      </w:pPr>
      <w:r>
        <w:t xml:space="preserve"/>
      </w:r>
    </w:p>
    <w:p>
      <w:r>
        <w:br w:type="page"/>
      </w:r>
    </w:p>
    <w:p>
      <w:pPr>
        <w:pStyle w:val="Heading1"/>
        <w:pBdr>
          <w:bottom w:val="single" w:color="7a5080" w:sz="6" w:space="4"/>
        </w:pBdr>
        <w:spacing w:before="360" w:after="160"/>
      </w:pPr>
      <w:r>
        <w:rPr>
          <w:rFonts w:ascii="Arial" w:cs="Arial" w:eastAsia="Arial" w:hAnsi="Arial"/>
          <w:b/>
          <w:bCs/>
          <w:color w:val="7a5080"/>
          <w:sz w:val="32"/>
          <w:szCs w:val="32"/>
        </w:rPr>
        <w:t xml:space="preserve">4. System Architecture</w:t>
      </w:r>
    </w:p>
    <w:p>
      <w:pPr>
        <w:pStyle w:val="Heading2"/>
        <w:spacing w:before="280" w:after="120"/>
      </w:pPr>
      <w:r>
        <w:rPr>
          <w:rFonts w:ascii="Arial" w:cs="Arial" w:eastAsia="Arial" w:hAnsi="Arial"/>
          <w:b/>
          <w:bCs/>
          <w:color w:val="7a5080"/>
          <w:sz w:val="26"/>
          <w:szCs w:val="26"/>
        </w:rPr>
        <w:t xml:space="preserve">4.1 Page Map</w:t>
      </w:r>
    </w:p>
    <w:p>
      <w:pPr>
        <w:spacing w:before="0" w:after="120"/>
        <w:jc w:val="left"/>
      </w:pPr>
      <w:r>
        <w:rPr>
          <w:rFonts w:ascii="Arial" w:cs="Arial" w:eastAsia="Arial" w:hAnsi="Arial"/>
          <w:b w:val="false"/>
          <w:bCs w:val="false"/>
          <w:i w:val="false"/>
          <w:iCs w:val="false"/>
          <w:color w:val="3a2e3f"/>
          <w:sz w:val="22"/>
          <w:szCs w:val="22"/>
        </w:rPr>
        <w:t xml:space="preserve">The product is organized as 6 interconnected HTML pages. Every page shares the same design system, header pattern, and navigation. Each page is independently loadable.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60"/>
        <w:gridCol w:w="2000"/>
      </w:tblGrid>
      <w:tr>
        <w:tc>
          <w:tcPr>
            <w:tcW w:type="dxa" w:w="22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1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File</w:t>
            </w:r>
          </w:p>
        </w:tc>
        <w:tc>
          <w:tcPr>
            <w:tcW w:type="dxa" w:w="35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AI Resources Hub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AI_Resources_Hub.html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Central dashboard. Entry point for all sections. Curated resource library + news feed.</w:t>
            </w:r>
          </w:p>
        </w:tc>
        <w:tc>
          <w:tcPr>
            <w:tcW w:type="dxa" w:w="20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News feed, resource cards, progress bar, pre-flight checklist, PD summary</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Professional Development Plan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pd-plan.html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9-priority roadmap from March 2026 to May 2028. Collapsible phases with real target dates.</w:t>
            </w:r>
          </w:p>
        </w:tc>
        <w:tc>
          <w:tcPr>
            <w:tcW w:type="dxa" w:w="20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Checkbox tasks, progress bar, collapsible sections, deadline badges</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Sabbatical Proposal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sabbatical.html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Complete sabbatical prep workspace. Rubric, draft content, submission checklist, preplanning tracker.</w:t>
            </w:r>
          </w:p>
        </w:tc>
        <w:tc>
          <w:tcPr>
            <w:tcW w:type="dxa" w:w="20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FPG rubric with scoring, draft workspace, 14-item checklist, preplanning log</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Mesa Summit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mesa-conference.html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Single-conference proposal page. Session abstract, date banner, prep checklist.</w:t>
            </w:r>
          </w:p>
        </w:tc>
        <w:tc>
          <w:tcPr>
            <w:tcW w:type="dxa" w:w="20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Date urgency banner, session abstract, learning outcomes, prep list</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Professional Development Log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completed.html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Activity log fed by hub checkboxes. Tracks completed training with timestamps.</w:t>
            </w:r>
          </w:p>
        </w:tc>
        <w:tc>
          <w:tcPr>
            <w:tcW w:type="dxa" w:w="20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Auto-populated from hub, category badges, CSV export, summary stats</w:t>
            </w:r>
          </w:p>
        </w:tc>
      </w:tr>
      <w:tr>
        <w:tc>
          <w:tcPr>
            <w:tcW w:type="dxa" w:w="22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UX Toolkit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ux_toolkit.html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Reference page for UX/Product career transition. Tools, vocabulary, practice projects.</w:t>
            </w:r>
          </w:p>
        </w:tc>
        <w:tc>
          <w:tcPr>
            <w:tcW w:type="dxa" w:w="20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Tool stack cards, vocabulary reference, practice projects, newsletters</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4.2 Technology Stack</w:t>
      </w:r>
    </w:p>
    <w:p>
      <w:pPr>
        <w:pStyle w:val="ListParagraph"/>
        <w:numPr>
          <w:ilvl w:val="0"/>
          <w:numId w:val="2"/>
        </w:numPr>
        <w:spacing w:before="0" w:after="80"/>
      </w:pPr>
      <w:r>
        <w:rPr>
          <w:rFonts w:ascii="Arial" w:cs="Arial" w:eastAsia="Arial" w:hAnsi="Arial"/>
          <w:color w:val="3a2e3f"/>
          <w:sz w:val="22"/>
          <w:szCs w:val="22"/>
        </w:rPr>
        <w:t xml:space="preserve">HTML5 / CSS3 / Vanilla JavaScript — no frameworks, no build step</w:t>
      </w:r>
    </w:p>
    <w:p>
      <w:pPr>
        <w:pStyle w:val="ListParagraph"/>
        <w:numPr>
          <w:ilvl w:val="0"/>
          <w:numId w:val="2"/>
        </w:numPr>
        <w:spacing w:before="0" w:after="80"/>
      </w:pPr>
      <w:r>
        <w:rPr>
          <w:rFonts w:ascii="Arial" w:cs="Arial" w:eastAsia="Arial" w:hAnsi="Arial"/>
          <w:color w:val="3a2e3f"/>
          <w:sz w:val="22"/>
          <w:szCs w:val="22"/>
        </w:rPr>
        <w:t xml:space="preserve">CSS Custom Properties (--plum, --sage, --rose, etc.) — full design token system</w:t>
      </w:r>
    </w:p>
    <w:p>
      <w:pPr>
        <w:pStyle w:val="ListParagraph"/>
        <w:numPr>
          <w:ilvl w:val="0"/>
          <w:numId w:val="2"/>
        </w:numPr>
        <w:spacing w:before="0" w:after="80"/>
      </w:pPr>
      <w:r>
        <w:rPr>
          <w:rFonts w:ascii="Arial" w:cs="Arial" w:eastAsia="Arial" w:hAnsi="Arial"/>
          <w:color w:val="3a2e3f"/>
          <w:sz w:val="22"/>
          <w:szCs w:val="22"/>
        </w:rPr>
        <w:t xml:space="preserve">localStorage API — persistent checkbox and note state across sessions</w:t>
      </w:r>
    </w:p>
    <w:p>
      <w:pPr>
        <w:pStyle w:val="ListParagraph"/>
        <w:numPr>
          <w:ilvl w:val="0"/>
          <w:numId w:val="2"/>
        </w:numPr>
        <w:spacing w:before="0" w:after="80"/>
      </w:pPr>
      <w:r>
        <w:rPr>
          <w:rFonts w:ascii="Arial" w:cs="Arial" w:eastAsia="Arial" w:hAnsi="Arial"/>
          <w:color w:val="3a2e3f"/>
          <w:sz w:val="22"/>
          <w:szCs w:val="22"/>
        </w:rPr>
        <w:t xml:space="preserve">RSS via three-proxy waterfall (rss2json → allorigins → corsproxy.io) — 56-source shared pool, keyword classifier routes articles to tabs, top 15 per tab</w:t>
      </w:r>
    </w:p>
    <w:p>
      <w:pPr>
        <w:pStyle w:val="ListParagraph"/>
        <w:numPr>
          <w:ilvl w:val="0"/>
          <w:numId w:val="2"/>
        </w:numPr>
        <w:spacing w:before="0" w:after="80"/>
      </w:pPr>
      <w:r>
        <w:rPr>
          <w:rFonts w:ascii="Arial" w:cs="Arial" w:eastAsia="Arial" w:hAnsi="Arial"/>
          <w:color w:val="3a2e3f"/>
          <w:sz w:val="22"/>
          <w:szCs w:val="22"/>
        </w:rPr>
        <w:t xml:space="preserve">Google Fonts (Lora + DM Sans) — typography system</w:t>
      </w:r>
    </w:p>
    <w:p>
      <w:pPr>
        <w:pStyle w:val="ListParagraph"/>
        <w:numPr>
          <w:ilvl w:val="0"/>
          <w:numId w:val="2"/>
        </w:numPr>
        <w:spacing w:before="0" w:after="80"/>
      </w:pPr>
      <w:r>
        <w:rPr>
          <w:rFonts w:ascii="Arial" w:cs="Arial" w:eastAsia="Arial" w:hAnsi="Arial"/>
          <w:color w:val="3a2e3f"/>
          <w:sz w:val="22"/>
          <w:szCs w:val="22"/>
        </w:rPr>
        <w:t xml:space="preserve">GitHub Pages — free static hosting, deploys via git push</w:t>
      </w:r>
    </w:p>
    <w:p>
      <w:pPr>
        <w:spacing w:before="0" w:after="80"/>
      </w:pPr>
      <w:r>
        <w:t xml:space="preserve"/>
      </w:r>
    </w:p>
    <w:p>
      <w:pPr>
        <w:spacing w:before="0" w:after="120"/>
        <w:jc w:val="left"/>
      </w:pPr>
      <w:r>
        <w:rPr>
          <w:rFonts w:ascii="Arial" w:cs="Arial" w:eastAsia="Arial" w:hAnsi="Arial"/>
          <w:b w:val="false"/>
          <w:bCs w:val="false"/>
          <w:i/>
          <w:iCs/>
          <w:color w:val="8a7e7a"/>
          <w:sz w:val="22"/>
          <w:szCs w:val="22"/>
        </w:rPr>
        <w:t xml:space="preserve">No backend. No database. No login. No dependencies to install or update.</w:t>
      </w:r>
    </w:p>
    <w:p>
      <w:pPr>
        <w:spacing w:before="0" w:after="160"/>
      </w:pPr>
      <w:r>
        <w:t xml:space="preserve"/>
      </w:r>
    </w:p>
    <w:p>
      <w:pPr>
        <w:pStyle w:val="Heading2"/>
        <w:spacing w:before="280" w:after="120"/>
      </w:pPr>
      <w:r>
        <w:rPr>
          <w:rFonts w:ascii="Arial" w:cs="Arial" w:eastAsia="Arial" w:hAnsi="Arial"/>
          <w:b/>
          <w:bCs/>
          <w:color w:val="7a5080"/>
          <w:sz w:val="26"/>
          <w:szCs w:val="26"/>
        </w:rPr>
        <w:t xml:space="preserve">4.3 Design System</w:t>
      </w:r>
    </w:p>
    <w:p>
      <w:pPr>
        <w:spacing w:before="0" w:after="120"/>
        <w:jc w:val="left"/>
      </w:pPr>
      <w:r>
        <w:rPr>
          <w:rFonts w:ascii="Arial" w:cs="Arial" w:eastAsia="Arial" w:hAnsi="Arial"/>
          <w:b w:val="false"/>
          <w:bCs w:val="false"/>
          <w:i w:val="false"/>
          <w:iCs w:val="false"/>
          <w:color w:val="3a2e3f"/>
          <w:sz w:val="22"/>
          <w:szCs w:val="22"/>
        </w:rPr>
        <w:t xml:space="preserve">All 6 pages share identical design tokens defined in a :root CSS block. Changing any token updates the entire site.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Token</w:t>
            </w:r>
          </w:p>
        </w:tc>
        <w:tc>
          <w:tcPr>
            <w:tcW w:type="dxa" w:w="14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Value</w:t>
            </w:r>
          </w:p>
        </w:tc>
        <w:tc>
          <w:tcPr>
            <w:tcW w:type="dxa" w:w="59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--plum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#7a5080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Primary brand color — headers, active states, buttons, nav links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#6b8f6e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Secondary accent — CoP section, success states, tag backgrounds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--rose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#c4929e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Tertiary accent — deadline urgency, italics on h1, selected states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#b8956a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Warning color — deadline badges, in-progress indicators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--paper / --warm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#faf7f2 / #f2ebe4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Page and header background — soft off-white base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--ink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#3a2e3f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Body text — warm near-black instead of pure #000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Lora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Serif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headings (h1–h3), header h1, section labels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DM Sans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Sans-serif</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body text, nav links, tags, metadata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Base font size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15px</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Applied to body on all pages — not rem-based to avoid cascade issues</w:t>
            </w:r>
          </w:p>
        </w:tc>
      </w:tr>
    </w:tbl>
    <w:p>
      <w:pPr>
        <w:spacing w:before="0" w:after="160"/>
      </w:pPr>
      <w:r>
        <w:t xml:space="preserve"/>
      </w:r>
    </w:p>
    <w:p>
      <w:r>
        <w:br w:type="page"/>
      </w:r>
    </w:p>
    <w:p>
      <w:pPr>
        <w:pStyle w:val="Heading1"/>
        <w:pBdr>
          <w:bottom w:val="single" w:color="7a5080" w:sz="6" w:space="4"/>
        </w:pBdr>
        <w:spacing w:before="360" w:after="160"/>
      </w:pPr>
      <w:r>
        <w:rPr>
          <w:rFonts w:ascii="Arial" w:cs="Arial" w:eastAsia="Arial" w:hAnsi="Arial"/>
          <w:b/>
          <w:bCs/>
          <w:color w:val="7a5080"/>
          <w:sz w:val="32"/>
          <w:szCs w:val="32"/>
        </w:rPr>
        <w:t xml:space="preserve">5. Feature Requirements</w:t>
      </w:r>
    </w:p>
    <w:p>
      <w:pPr>
        <w:pStyle w:val="Heading2"/>
        <w:spacing w:before="280" w:after="120"/>
      </w:pPr>
      <w:r>
        <w:rPr>
          <w:rFonts w:ascii="Arial" w:cs="Arial" w:eastAsia="Arial" w:hAnsi="Arial"/>
          <w:b/>
          <w:bCs/>
          <w:color w:val="7a5080"/>
          <w:sz w:val="26"/>
          <w:szCs w:val="26"/>
        </w:rPr>
        <w:t xml:space="preserve">5.1 Global Features (All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Pages</w:t>
            </w:r>
          </w:p>
        </w:tc>
        <w:tc>
          <w:tcPr>
            <w:tcW w:type="dxa" w:w="22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Shared header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Centered Lora h1 with italic rose-colored emphasis word (Cultivate), tagline "Your AI-powered professional development space", pill-style nav links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Identical CSS block across all pages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Gradient underline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Plum → Rose → Sage 1px gradient under 3px solid plum header border</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header::after pseudoelement</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Navigation pills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Rounded pill links (border-radius: 2rem) in plum; fill to white text on hover</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Each page omits its own link; 4–5 destinations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Consistent :root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15 canonical CSS custom properties; identical across all pages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No hardcoded hex in component CSS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Footer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Page name, centered, muted text; consistent across pages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Simple identity anchor</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Responsive layout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max-width: 860px centered main; wrapping nav; readable on iPad and laptop</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6</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No mobile-specific breakpoints required in v1</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5.2 AI Resources Hub</w:t>
      </w:r>
    </w:p>
    <w:p>
      <w:pPr>
        <w:pBdr>
          <w:top w:val="single" w:color="c4929e" w:sz="12" w:space="4"/>
          <w:left w:val="single" w:color="c4929e" w:sz="12" w:space="4"/>
          <w:bottom w:val="single" w:color="c4929e" w:sz="12" w:space="4"/>
          <w:right w:val="single" w:color="c4929e" w:sz="12" w:space="4"/>
        </w:pBdr>
        <w:shd w:fill="f5e8eb" w:val="clear"/>
        <w:spacing w:before="160" w:after="80"/>
        <w:ind w:left="160" w:right="160"/>
      </w:pPr>
      <w:r>
        <w:rPr>
          <w:rFonts w:ascii="Arial" w:cs="Arial" w:eastAsia="Arial" w:hAnsi="Arial"/>
          <w:b/>
          <w:bCs/>
          <w:color w:val="7a5080"/>
          <w:sz w:val="22"/>
          <w:szCs w:val="22"/>
        </w:rPr>
        <w:t xml:space="preserve">⚠ CRITICAL REQUIREMENT — RSS Feed: Fetch ALL Sources for Every Tab</w:t>
      </w:r>
    </w:p>
    <w:p>
      <w:pPr>
        <w:shd w:fill="f5e8eb" w:val="clear"/>
        <w:spacing w:before="0" w:after="80"/>
        <w:ind w:left="160" w:right="160"/>
      </w:pPr>
      <w:r>
        <w:rPr>
          <w:rFonts w:ascii="Arial" w:cs="Arial" w:eastAsia="Arial" w:hAnsi="Arial"/>
          <w:color w:val="3a2e3f"/>
          <w:sz w:val="20"/>
          <w:szCs w:val="20"/>
        </w:rPr>
        <w:t xml:space="preserve">The news feed is the primary reason this page exists. Michelle uses Cultivate as her main daily news source across all professional subject areas — AI, EdTech, Student Success, UX, and PM. The RSS architecture must work as follows:</w:t>
      </w:r>
    </w:p>
    <w:p>
      <w:pPr>
        <w:pStyle w:val="ListParagraph"/>
        <w:numPr>
          <w:ilvl w:val="0"/>
          <w:numId w:val="2"/>
        </w:numPr>
        <w:shd w:fill="f5e8eb" w:val="clear"/>
        <w:spacing w:before="0" w:after="60"/>
        <w:ind w:left="360" w:right="160"/>
      </w:pPr>
      <w:r>
        <w:rPr>
          <w:rFonts w:ascii="Arial" w:cs="Arial" w:eastAsia="Arial" w:hAnsi="Arial"/>
          <w:b/>
          <w:bCs/>
          <w:color w:val="3a2e3f"/>
          <w:sz w:val="20"/>
          <w:szCs w:val="20"/>
        </w:rPr>
        <w:t xml:space="preserve">ALL 56 RSS sources must be fetched on every page load, for every tab. </w:t>
      </w:r>
      <w:r>
        <w:rPr>
          <w:rFonts w:ascii="Arial" w:cs="Arial" w:eastAsia="Arial" w:hAnsi="Arial"/>
          <w:color w:val="3a2e3f"/>
          <w:sz w:val="20"/>
          <w:szCs w:val="20"/>
        </w:rPr>
        <w:t xml:space="preserve">Sources must never be filtered or divided by tab at fetch time.</w:t>
      </w:r>
    </w:p>
    <w:p>
      <w:pPr>
        <w:pStyle w:val="ListParagraph"/>
        <w:numPr>
          <w:ilvl w:val="0"/>
          <w:numId w:val="2"/>
        </w:numPr>
        <w:shd w:fill="f5e8eb" w:val="clear"/>
        <w:spacing w:before="0" w:after="60"/>
        <w:ind w:left="360" w:right="160"/>
      </w:pPr>
      <w:r>
        <w:rPr>
          <w:rFonts w:ascii="Arial" w:cs="Arial" w:eastAsia="Arial" w:hAnsi="Arial"/>
          <w:b/>
          <w:bCs/>
          <w:color w:val="3a2e3f"/>
          <w:sz w:val="20"/>
          <w:szCs w:val="20"/>
        </w:rPr>
        <w:t xml:space="preserve">A keyword classifier routes every article to its most relevant tab. </w:t>
      </w:r>
      <w:r>
        <w:rPr>
          <w:rFonts w:ascii="Arial" w:cs="Arial" w:eastAsia="Arial" w:hAnsi="Arial"/>
          <w:color w:val="3a2e3f"/>
          <w:sz w:val="20"/>
          <w:szCs w:val="20"/>
        </w:rPr>
        <w:t xml:space="preserve">Any source can produce articles for any tab. A Smashing Magazine post about AI tools should appear in the AI tab. A Hechinger Report piece on ed-tech policy should appear in EdTech. The source’s homeTab is only a tiebreaker when scores are equal.</w:t>
      </w:r>
    </w:p>
    <w:p>
      <w:pPr>
        <w:pStyle w:val="ListParagraph"/>
        <w:numPr>
          <w:ilvl w:val="0"/>
          <w:numId w:val="2"/>
        </w:numPr>
        <w:shd w:fill="f5e8eb" w:val="clear"/>
        <w:spacing w:before="0" w:after="60"/>
        <w:ind w:left="360" w:right="160"/>
      </w:pPr>
      <w:r>
        <w:rPr>
          <w:rFonts w:ascii="Arial" w:cs="Arial" w:eastAsia="Arial" w:hAnsi="Arial"/>
          <w:b/>
          <w:bCs/>
          <w:color w:val="3a2e3f"/>
          <w:sz w:val="20"/>
          <w:szCs w:val="20"/>
        </w:rPr>
        <w:t xml:space="preserve">Implementation: </w:t>
      </w:r>
      <w:r>
        <w:rPr>
          <w:rFonts w:ascii="Arial" w:cs="Arial" w:eastAsia="Arial" w:hAnsi="Arial"/>
          <w:color w:val="3a2e3f"/>
          <w:sz w:val="20"/>
          <w:szCs w:val="20"/>
        </w:rPr>
        <w:t xml:space="preserve">fetchAndClassifyAll() calls RSS_SOURCES.map() to fetch all sources in parallel. classifyArticle(item, homeTab) scores each article against TAB_KEYWORDS. The shared articlePool is built once and filtered per tab click — tab switches never re-fetch.</w:t>
      </w:r>
    </w:p>
    <w:p>
      <w:pPr>
        <w:pStyle w:val="ListParagraph"/>
        <w:numPr>
          <w:ilvl w:val="0"/>
          <w:numId w:val="2"/>
        </w:numPr>
        <w:shd w:fill="f5e8eb" w:val="clear"/>
        <w:spacing w:before="0" w:after="160"/>
        <w:ind w:left="360" w:right="160"/>
      </w:pPr>
      <w:r>
        <w:rPr>
          <w:rFonts w:ascii="Arial" w:cs="Arial" w:eastAsia="Arial" w:hAnsi="Arial"/>
          <w:b/>
          <w:bCs/>
          <w:color w:val="c4929e"/>
          <w:sz w:val="20"/>
          <w:szCs w:val="20"/>
        </w:rPr>
        <w:t xml:space="preserve">DO NOT change this. </w:t>
      </w:r>
      <w:r>
        <w:rPr>
          <w:rFonts w:ascii="Arial" w:cs="Arial" w:eastAsia="Arial" w:hAnsi="Arial"/>
          <w:color w:val="3a2e3f"/>
          <w:sz w:val="20"/>
          <w:szCs w:val="20"/>
        </w:rPr>
        <w:t xml:space="preserve">Splitting RSS_SOURCES into per-tab arrays, filtering sources before fetching, or only fetching sources whose homeTab matches the active tab would all break this requirement. This has been accidentally reverted multiple times. The homeTab groupings in code are for human readability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Live news feed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56 sources fetched together via fetchAndClassifyAll(); keyword classifier routes every article to most relevant tab; homeTab is tiebreaker only — never used to filter which sources are fetched; top 15 per tab; pin articles; mark read</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rss2json primary; allorigins + corsproxy.io fallbacks; single fetchInFlight promise prevents duplicate fetches; ALL 56 sources always fetched — homeTab is tiebreaker only, never a fetch filter</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Resource card grid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Curated library of courses, videos, articles, conferences; each card has title, org, description, tags, checkbox</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Sections: Trainings, Videos, Articles, Conferences, CoP, Resources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Card checkboxes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Checking a card saves to localStorage and logs entry to pdLog (read by completed.html)</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Key: gcc_hub_checked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Progress bar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Live % complete based on checked cards across all sections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Updates on every check event</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Pre-flight checklist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Collapsible panel with weekly action items and quick links to time-sensitive tasks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Manually maintained by user</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PD plan summary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Compact summary of all 9 priorities with ⚠ deadline rows and quick links to child pages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Links to pd-plan.html, sabbatical.html, mesa-conference.html</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Tag system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Color-coded tags: priority, free, certificate, LinkedIn, offline, Maricopa, watch-later</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Defined in CSS; applied per card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Add resource modal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User can add custom resource cards; export added resources to JSON</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Key: aihub-added-resources-v1</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Card pins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Pin cards to top of section; persists via localStorage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Key: gcc_hub_card_pins_v1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color w:val="3a2e3f"/>
                <w:sz w:val="20"/>
                <w:szCs w:val="20"/>
              </w:rPr>
              <w:t>Download state (airplane icon)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val="false"/>
                <w:color w:val="3a2e3f"/>
                <w:sz w:val="20"/>
                <w:szCs w:val="20"/>
              </w:rPr>
              <w:t xml:space="preserve">Every card with downloadable content has a greyed-out airplane icon in the card-meta column. Clicking it marks it full color to indicate the file has been downloaded to the device. Kindle books have icons but are excluded from link checking. State persists across sessions.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pPr>
            <w:r>
              <w:rPr>
                <w:rFonts w:ascii="Arial" w:cs="Arial" w:hAnsi="Arial"/>
                <w:b w:val="false"/>
                <w:color w:val="3a2e3f"/>
                <w:sz w:val="20"/>
                <w:szCs w:val="20"/>
              </w:rPr>
              <w:t>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val="false"/>
                <w:color w:val="3a2e3f"/>
                <w:sz w:val="20"/>
                <w:szCs w:val="20"/>
              </w:rPr>
              <w:t xml:space="preserve">Key: gcc_hub_downloaded_v1; .dl-btn + .downloaded CSS; toggleDownload() / restoreDownloadState()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color w:val="3a2e3f"/>
                <w:sz w:val="20"/>
                <w:szCs w:val="20"/>
              </w:rPr>
              <w:t>Link checker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val="false"/>
                <w:color w:val="3a2e3f"/>
                <w:sz w:val="20"/>
                <w:szCs w:val="20"/>
              </w:rPr>
              <w:t xml:space="preserve">Button at page bottom checks all card links in parallel via fetch HEAD + Promise.allSettled. Reachable links get a green check prefix; broken links get a red X outline. Login-required domains (NYT, EDUCAUSE, NISOD, Coursera, etc.) still get checked but also show a lock icon. Amazon/Kindle links are excluded entirely via data-no-check attribute.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pPr>
            <w:r>
              <w:rPr>
                <w:rFonts w:ascii="Arial" w:cs="Arial" w:hAnsi="Arial"/>
                <w:b w:val="false"/>
                <w:color w:val="3a2e3f"/>
                <w:sz w:val="20"/>
                <w:szCs w:val="20"/>
              </w:rPr>
              <w:t>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val="false"/>
                <w:color w:val="3a2e3f"/>
                <w:sz w:val="20"/>
                <w:szCs w:val="20"/>
              </w:rPr>
              <w:t xml:space="preserve">23 login-required domains in loginDomains[]; 6 Kindle book links excluded with data-no-check; MutationObserver re-applies lock badges to dynamically added news items</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5.3 Professional Development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9-priority roadmap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priorities displayed in order with section labels, date chips, and phase blocks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Spans March 2026 – May 2028</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Collapsible phases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Each priority is a collapsible block with click-to-expand header; smooth toggle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togglePhase() function; state not persisted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Task checkboxes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Individual tasks within phases; checking saves state to localStorage and updates progress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Key: pdPlanState_v2; toggleTask() function</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Progress bar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Overall completion % across all tasks; updates live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updateProgress() recalculates on every check</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Date chips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Inline date labels on section headers; deadline badges on specific tasks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Deadline badge styled in gold/warm tones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Restore state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On DOMContentLoaded, all previous checkbox states are restored</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restoreState() reads pdPlanState_v2</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Study schedule blocks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Three time-blocked study schedule sections (Spring/Summer/Fall 2026)</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Treated as collapsible phases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Page intro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Brief description of roadmap scope and localStorage behavior, visible at top</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Orientates user on first visit</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5.4 Sabbatical Proposal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Deadline banner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Prominent Oct 1, 2026 deadline with visual urgency; linked to FPG guidelines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3:00 PM hard deadline; minimum score 80/100</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FPG rubric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Full Maricopa FPG sabbatical evaluation rubric with scoring breakdown; High/Mid/Low criteria per section</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Criteria: Goals, Impact, Qualifications, Preplanning, Feasibility</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Score tracker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Interactive score display showing max points per rubric section and minimum to fund</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100-point total; 80+ required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Draft workspace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Editable draft content sections for abstract, goals, impact, qualifications narrative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Text displayed as draft; no live editing in v1</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Data point placeholder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Highlighted prompt to insert specific GCC student persistence retention statistic</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Yellow highlight callout with instruction text</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Submission checklist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14-item checklist covering all required documents, signatures, and submission steps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Key: gcc_sabbatical_checklist_v1</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Preplanning tracker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8-item preplanning log with target dates; state persists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Key: gcc_sabbatical_preplan_v1; savePlan()</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Letters of support guide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Guidance on selecting 5 letter writers with suggested roles and talking points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Recommended contacts listed with context</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Prep timeline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Month-by-month visual timeline from April 2026 to October 2026 submission</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Not task-based; narrative timeline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Key contacts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Reference list of FPG contacts with roles and email addresses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Includes Sylvia Enriquez ownership transfer note</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5.5 Mesa Summit Proposal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Date urgency banner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Three-column banner: CFP Deadline (⚠ Mar 23), Notification (Apr 1), Conference Day (May 18)</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Urgent date styled in rose/gold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Session proposal card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Full session abstract (~270 words), 3 learning outcomes, session details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Title: "From Classroom to Career: A Student Dashboard Built with AI"</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Dashboard description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5-section breakdown of the student career dashboard tool (resume, learning, projects, networking, interview prep)</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Replaces prompt-based framing from earlier draft</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Prep checklist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Live demo readiness notes; if-accepted task list</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Covers slide deck, demo, handout, student examples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Summit links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Links to official summit homepage and CFP submission page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sites.google.com/mesacc.edu/...</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5.6 Professional Development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Auto-populated log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When a card is checked in the hub, an entry is written to pdLog in localStorage and surfaced here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Cross-page localStorage read/write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Category badges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Each entry displays a color-coded badge: Book, Course, Video, Tutorial, CFP, Training</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Badge colors mapped to category strings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Summary stats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Total hours logged, activity count, category breakdown at top of page</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Calculated from pdLog entries on load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CSV export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Export full log as .csv for external reporting or LinkedIn documentation</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exportCSV() function; opens download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Clear log</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Button to clear all entries with confirmation prompt</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Irreversible; confirmation required</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5.7 UX &amp; Design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1500"/>
        <w:gridCol w:w="22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w:t>
            </w:r>
          </w:p>
        </w:tc>
        <w:tc>
          <w:tcPr>
            <w:tcW w:type="dxa" w:w="3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1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22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Tool stack cards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Reference cards for core UX/PM tools: Jira, Figma, Miro, FullStory, etc.</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Static reference; no checkboxes</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UX vocabulary</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Glossary of JTBD, Scrum, accessibility, and UX research terms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Expandable reference for career transition</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Practice projects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Structured project briefs for building UX portfolio pieces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Mapped to Aug–Sep 2026 study schedule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Newsletters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Curated list of industry newsletters with subscribe links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P3</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EdTech PM and UX focused</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Section jump nav</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Second nav bar for in-page jumps between Tools, Vocabulary, Projects, Newsletters</w:t>
            </w:r>
          </w:p>
        </w:tc>
        <w:tc>
          <w:tcPr>
            <w:tcW w:type="dxa" w:w="150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Separate from header nav; sticky</w:t>
            </w:r>
          </w:p>
        </w:tc>
      </w:tr>
    </w:tbl>
    <w:p>
      <w:pPr>
        <w:spacing w:before="0" w:after="160"/>
      </w:pPr>
      <w:r>
        <w:t xml:space="preserve"/>
      </w:r>
    </w:p>
    <w:p>
      <w:r>
        <w:br w:type="page"/>
      </w:r>
    </w:p>
    <w:p>
      <w:pPr>
        <w:pStyle w:val="Heading1"/>
        <w:pBdr>
          <w:bottom w:val="single" w:color="7a5080" w:sz="6" w:space="4"/>
        </w:pBdr>
        <w:spacing w:before="360" w:after="160"/>
      </w:pPr>
      <w:r>
        <w:rPr>
          <w:rFonts w:ascii="Arial" w:cs="Arial" w:eastAsia="Arial" w:hAnsi="Arial"/>
          <w:b/>
          <w:bCs/>
          <w:color w:val="7a5080"/>
          <w:sz w:val="32"/>
          <w:szCs w:val="32"/>
        </w:rPr>
        <w:t xml:space="preserve">6. User Stories</w:t>
      </w:r>
    </w:p>
    <w:p>
      <w:pPr>
        <w:spacing w:before="0" w:after="120"/>
        <w:jc w:val="left"/>
      </w:pPr>
      <w:r>
        <w:rPr>
          <w:rFonts w:ascii="Arial" w:cs="Arial" w:eastAsia="Arial" w:hAnsi="Arial"/>
          <w:b w:val="false"/>
          <w:bCs w:val="false"/>
          <w:i w:val="false"/>
          <w:iCs w:val="false"/>
          <w:color w:val="3a2e3f"/>
          <w:sz w:val="22"/>
          <w:szCs w:val="22"/>
        </w:rPr>
        <w:t xml:space="preserve">Stories are written from the perspective of the primary user. Priority: P1 = must have for v1, P2 = should have, P3 = nice to have.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800"/>
        <w:gridCol w:w="800"/>
        <w:gridCol w:w="860"/>
      </w:tblGrid>
      <w:tr>
        <w:tc>
          <w:tcPr>
            <w:tcW w:type="dxa" w:w="7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ID</w:t>
            </w:r>
          </w:p>
        </w:tc>
        <w:tc>
          <w:tcPr>
            <w:tcW w:type="dxa" w:w="32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Story</w:t>
            </w:r>
          </w:p>
        </w:tc>
        <w:tc>
          <w:tcPr>
            <w:tcW w:type="dxa" w:w="28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Acceptance Criteria</w:t>
            </w:r>
          </w:p>
        </w:tc>
        <w:tc>
          <w:tcPr>
            <w:tcW w:type="dxa" w:w="8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Priority</w:t>
            </w:r>
          </w:p>
        </w:tc>
        <w:tc>
          <w:tcPr>
            <w:tcW w:type="dxa" w:w="8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to open one URL and immediately see all my PD resources, upcoming deadlines, and current progress so I do not have to check multiple places.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 loads with news feed, resource sections, progress bar, and PD summary visible; all links functional</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deadline warnings to be visible without having to scroll so I never miss a submission window.</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 symbols appear on both hub PD summary and pd-plan for Mesa (Mar 23) and Sabbatical (Oct 1)</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 / Plan</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my checkbox state to persist when I close and reopen the browser so I do not lose track of what I have completed.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checkboxes restore on DOMContentLoaded from localStorage; state survives tab close</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to see my overall PD progress at a glance so I feel momentum and know when to accelerate.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Progress bar shows accurate % complete; updates immediately on check/uncheck</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 / Plan</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preparing a sabbatical proposal, I want the full evaluation rubric and my draft content in the same place so I can score my own work before submitting.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FPG rubric sections visible with High/Mid/Low criteria; draft workspace immediately below each section</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Sabbatical</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a 14-item submission checklist that persists state so I can track exactly where I am in the submission process.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 14 items checkable; state saves to localStorage; no item can be lost on page reload</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Sabbatical</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to read the latest AI in education news without leaving my dashboard so I stay current without switching tabs.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News feed fetches ALL 56 sources; classifier routes each article to most relevant tab regardless of source homeTab; pin and read-state persist; articles link out to source</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to navigate between any two pages in two clicks from anywhere in the system.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Every page header nav reaches all other pages (5 links max); back to hub always visible</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US-09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a record of everything I have completed for documentation on my CV and sabbatical application.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Completed.html shows all checked hub items with timestamps; CSV export works</w:t>
            </w:r>
          </w:p>
        </w:tc>
        <w:tc>
          <w:tcPr>
            <w:tcW w:type="dxa" w:w="8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Log</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the system to feel like a professional product I would be proud to show a dean or hiring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Consistent header, typography, and color system on all 6 pages; no broken styles or missing nav items</w:t>
            </w:r>
          </w:p>
        </w:tc>
        <w:tc>
          <w:tcPr>
            <w:tcW w:type="dxa" w:w="8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P2</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All</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US-11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I want to add my own resource cards to the hub without editing code.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Add resource modal accepts title, URL, description, and category; card persists via localStorage</w:t>
            </w:r>
          </w:p>
        </w:tc>
        <w:tc>
          <w:tcPr>
            <w:tcW w:type="dxa" w:w="800"/>
            <w:tcBorders>
              <w:top w:val="single" w:color="CCCCCC" w:sz="1"/>
              <w:left w:val="single" w:color="CCCCCC" w:sz="1"/>
              <w:bottom w:val="single" w:color="CCCCCC" w:sz="1"/>
              <w:right w:val="single" w:color="CCCCCC" w:sz="1"/>
            </w:tcBorders>
            <w:shd w:fill="e4ede5"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P3</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r>
      <w:tr>
        <w:tc>
          <w:tcPr>
            <w:tcW w:type="dxa" w:w="7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US-12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As a faculty member submitting a conference proposal, I want the full abstract and session details in one place so I can copy-paste directly into the submission 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Session abstract (~270 words), learning outcomes, and tech requirements all visible on mesa-conference.html</w:t>
            </w:r>
          </w:p>
        </w:tc>
        <w:tc>
          <w:tcPr>
            <w:tcW w:type="dxa" w:w="8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P1</w:t>
            </w:r>
          </w:p>
        </w:tc>
        <w:tc>
          <w:tcPr>
            <w:tcW w:type="dxa" w:w="860"/>
            <w:tcBorders>
              <w:top w:val="single" w:color="CCCCCC" w:sz="1"/>
              <w:left w:val="single" w:color="CCCCCC" w:sz="1"/>
              <w:bottom w:val="single" w:color="CCCCCC" w:sz="1"/>
              <w:right w:val="single" w:color="CCCCCC" w:sz="1"/>
            </w:tcBorders>
            <w:shd w:fill="ede4f2" w:val="clear"/>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Mesa</w:t>
            </w:r>
          </w:p>
        </w:tc>
      </w:tr>
    </w:tbl>
    <w:p>
      <w:pPr>
        <w:spacing w:before="0" w:after="160"/>
      </w:pPr>
      <w:r>
        <w:t xml:space="preserve"/>
      </w:r>
    </w:p>
    <w:p>
      <w:r>
        <w:br w:type="page"/>
      </w:r>
    </w:p>
    <w:p>
      <w:pPr>
        <w:pStyle w:val="Heading1"/>
        <w:pBdr>
          <w:bottom w:val="single" w:color="7a5080" w:sz="6" w:space="4"/>
        </w:pBdr>
        <w:spacing w:before="360" w:after="160"/>
      </w:pPr>
      <w:r>
        <w:rPr>
          <w:rFonts w:ascii="Arial" w:cs="Arial" w:eastAsia="Arial" w:hAnsi="Arial"/>
          <w:b/>
          <w:bCs/>
          <w:color w:val="7a5080"/>
          <w:sz w:val="32"/>
          <w:szCs w:val="32"/>
        </w:rPr>
        <w:t xml:space="preserve">7. Data Model — localStorage Keys</w:t>
      </w:r>
    </w:p>
    <w:p>
      <w:pPr>
        <w:spacing w:before="0" w:after="120"/>
        <w:jc w:val="left"/>
      </w:pPr>
      <w:r>
        <w:rPr>
          <w:rFonts w:ascii="Arial" w:cs="Arial" w:eastAsia="Arial" w:hAnsi="Arial"/>
          <w:b w:val="false"/>
          <w:bCs w:val="false"/>
          <w:i w:val="false"/>
          <w:iCs w:val="false"/>
          <w:color w:val="3a2e3f"/>
          <w:sz w:val="22"/>
          <w:szCs w:val="22"/>
        </w:rPr>
        <w:t xml:space="preserve">All persistence in v1 uses the browser localStorage API. There is no server-side storage, no authentication, and no sync between devices. Each key below is scoped to the domain where the files are served.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c>
          <w:tcPr>
            <w:tcW w:type="dxa" w:w="26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w:t>
            </w:r>
          </w:p>
        </w:tc>
        <w:tc>
          <w:tcPr>
            <w:tcW w:type="dxa" w:w="12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Page</w:t>
            </w:r>
          </w:p>
        </w:tc>
        <w:tc>
          <w:tcPr>
            <w:tcW w:type="dxa" w:w="14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Type</w:t>
            </w:r>
          </w:p>
        </w:tc>
        <w:tc>
          <w:tcPr>
            <w:tcW w:type="dxa" w:w="41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gcc_hub_checked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Map of card IDs to checked boolean; written and read by hub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pdLog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 / Log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Array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Array of {id, title, category, timestamp} objects; written by hub, read by completed.html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pdPlanState_v2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Plan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Map of task data-id to checked boolean; v2 key prevents collision with earlier versions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gcc_sabbatical_checklist_v1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Sabbatical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Checked state for 14-item submission checklist by index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gcc_sabbatical_preplan_v1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Sabbatical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Checked state for 8-item preplanning log by index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ai_hub_pinned_v1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Array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Array of pinned news article objects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ai_hub_news_read_v1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Set of read article IDs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gcc_hub_card_pins_v1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Object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Map of card IDs to pin position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aihub-added-resources-v1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Hub</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Array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User-added resource card objects; exported via exportAddedResources()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bCs/>
                <w:color w:val="3a2e3f"/>
                <w:sz w:val="20"/>
                <w:szCs w:val="20"/>
              </w:rPr>
              <w:t xml:space="preserve">gcc_hub_downloaded_v1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val="false"/>
                <w:color w:val="3a2e3f"/>
                <w:sz w:val="20"/>
                <w:szCs w:val="20"/>
              </w:rPr>
              <w:t xml:space="preserve">Hub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val="false"/>
                <w:color w:val="3a2e3f"/>
                <w:sz w:val="20"/>
                <w:szCs w:val="20"/>
              </w:rPr>
              <w:t xml:space="preserve">Object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pPr>
            <w:r>
              <w:rPr>
                <w:rFonts w:ascii="Arial" w:cs="Arial" w:hAnsi="Arial"/>
                <w:b w:val="false"/>
                <w:color w:val="3a2e3f"/>
                <w:sz w:val="20"/>
                <w:szCs w:val="20"/>
              </w:rPr>
              <w:t xml:space="preserve">Map of card data-ids to boolean; written by toggleDownload(), restored by restoreDownloadState() on load. Greyed airplane = not yet downloaded; full-color = downloaded to device.</w:t>
            </w:r>
          </w:p>
        </w:tc>
      </w:tr>
    </w:tbl>
    <w:p>
      <w:pPr>
        <w:spacing w:before="0" w:after="80"/>
      </w:pPr>
      <w:r>
        <w:t xml:space="preserve"/>
      </w:r>
    </w:p>
    <w:p>
      <w:pPr>
        <w:spacing w:before="0" w:after="120"/>
        <w:jc w:val="left"/>
      </w:pPr>
      <w:r>
        <w:rPr>
          <w:rFonts w:ascii="Arial" w:cs="Arial" w:eastAsia="Arial" w:hAnsi="Arial"/>
          <w:b w:val="false"/>
          <w:bCs w:val="false"/>
          <w:i/>
          <w:iCs/>
          <w:color w:val="8a7e7a"/>
          <w:sz w:val="22"/>
          <w:szCs w:val="22"/>
        </w:rPr>
        <w:t xml:space="preserve">Note: localStorage data is scoped to the origin (protocol + domain + port). Files served from GitHub Pages (https://singletrackmom.github.io) will have a different storage scope than files opened locally (file://). Always test state persistence from the deployed URL.</w:t>
      </w:r>
    </w:p>
    <w:p>
      <w:pPr>
        <w:spacing w:before="0" w:after="160"/>
      </w:pPr>
      <w:r>
        <w:t xml:space="preserve"/>
      </w:r>
    </w:p>
    <w:p>
      <w:r>
        <w:br w:type="page"/>
      </w:r>
    </w:p>
    <w:p>
      <w:pPr>
        <w:pStyle w:val="Heading1"/>
        <w:pBdr>
          <w:bottom w:val="single" w:color="7a5080" w:sz="6" w:space="4"/>
        </w:pBdr>
        <w:spacing w:before="360" w:after="160"/>
      </w:pPr>
      <w:r>
        <w:rPr>
          <w:rFonts w:ascii="Arial" w:cs="Arial" w:eastAsia="Arial" w:hAnsi="Arial"/>
          <w:b/>
          <w:bCs/>
          <w:color w:val="7a5080"/>
          <w:sz w:val="32"/>
          <w:szCs w:val="32"/>
        </w:rPr>
        <w:t xml:space="preserve">8. Constraints &amp; Assumptions</w:t>
      </w:r>
    </w:p>
    <w:p>
      <w:pPr>
        <w:pStyle w:val="Heading2"/>
        <w:spacing w:before="280" w:after="120"/>
      </w:pPr>
      <w:r>
        <w:rPr>
          <w:rFonts w:ascii="Arial" w:cs="Arial" w:eastAsia="Arial" w:hAnsi="Arial"/>
          <w:b/>
          <w:bCs/>
          <w:color w:val="7a5080"/>
          <w:sz w:val="26"/>
          <w:szCs w:val="26"/>
        </w:rPr>
        <w:t xml:space="preserve">8.1 Constraints</w:t>
      </w:r>
    </w:p>
    <w:p>
      <w:pPr>
        <w:pStyle w:val="ListParagraph"/>
        <w:numPr>
          <w:ilvl w:val="0"/>
          <w:numId w:val="2"/>
        </w:numPr>
        <w:spacing w:before="0" w:after="80"/>
      </w:pPr>
      <w:r>
        <w:rPr>
          <w:rFonts w:ascii="Arial" w:cs="Arial" w:eastAsia="Arial" w:hAnsi="Arial"/>
          <w:color w:val="3a2e3f"/>
          <w:sz w:val="22"/>
          <w:szCs w:val="22"/>
        </w:rPr>
        <w:t xml:space="preserve">No backend, database, or authentication — localStorage only. Single-user by design.</w:t>
      </w:r>
    </w:p>
    <w:p>
      <w:pPr>
        <w:pStyle w:val="ListParagraph"/>
        <w:numPr>
          <w:ilvl w:val="0"/>
          <w:numId w:val="2"/>
        </w:numPr>
        <w:spacing w:before="0" w:after="80"/>
      </w:pPr>
      <w:r>
        <w:rPr>
          <w:rFonts w:ascii="Arial" w:cs="Arial" w:eastAsia="Arial" w:hAnsi="Arial"/>
          <w:color w:val="3a2e3f"/>
          <w:sz w:val="22"/>
          <w:szCs w:val="22"/>
        </w:rPr>
        <w:t xml:space="preserve">No build pipeline — all files must be valid HTML/CSS/JS as written. No npm run build.</w:t>
      </w:r>
    </w:p>
    <w:p>
      <w:pPr>
        <w:pStyle w:val="ListParagraph"/>
        <w:numPr>
          <w:ilvl w:val="0"/>
          <w:numId w:val="2"/>
        </w:numPr>
        <w:spacing w:before="0" w:after="80"/>
      </w:pPr>
      <w:r>
        <w:rPr>
          <w:rFonts w:ascii="Arial" w:cs="Arial" w:eastAsia="Arial" w:hAnsi="Arial"/>
          <w:color w:val="3a2e3f"/>
          <w:sz w:val="22"/>
          <w:szCs w:val="22"/>
        </w:rPr>
        <w:t xml:space="preserve">Must deploy to GitHub Pages (free tier static hosting). No server-side rendering.</w:t>
      </w:r>
    </w:p>
    <w:p>
      <w:pPr>
        <w:pStyle w:val="ListParagraph"/>
        <w:numPr>
          <w:ilvl w:val="0"/>
          <w:numId w:val="2"/>
        </w:numPr>
        <w:spacing w:before="0" w:after="80"/>
      </w:pPr>
      <w:r>
        <w:rPr>
          <w:rFonts w:ascii="Arial" w:cs="Arial" w:eastAsia="Arial" w:hAnsi="Arial"/>
          <w:color w:val="3a2e3f"/>
          <w:sz w:val="22"/>
          <w:szCs w:val="22"/>
        </w:rPr>
        <w:t xml:space="preserve">Must work on iPad and laptop browsers. No mobile-only breakpoints required in v1.</w:t>
      </w:r>
    </w:p>
    <w:p>
      <w:pPr>
        <w:pStyle w:val="ListParagraph"/>
        <w:numPr>
          <w:ilvl w:val="0"/>
          <w:numId w:val="2"/>
        </w:numPr>
        <w:spacing w:before="0" w:after="80"/>
      </w:pPr>
      <w:r>
        <w:rPr>
          <w:rFonts w:ascii="Arial" w:cs="Arial" w:eastAsia="Arial" w:hAnsi="Arial"/>
          <w:color w:val="3a2e3f"/>
          <w:sz w:val="22"/>
          <w:szCs w:val="22"/>
        </w:rPr>
        <w:t xml:space="preserve">News feed requires internet connection (rss2json/allorigins/corsproxy.io proxy waterfall). Graceful fallback if offline.</w:t>
      </w:r>
    </w:p>
    <w:p>
      <w:pPr>
        <w:pStyle w:val="ListParagraph"/>
        <w:numPr>
          <w:ilvl w:val="0"/>
          <w:numId w:val="2"/>
        </w:numPr>
        <w:spacing w:before="0" w:after="80"/>
      </w:pPr>
      <w:r>
        <w:rPr>
          <w:rFonts w:ascii="Arial" w:cs="Arial" w:eastAsia="Arial" w:hAnsi="Arial"/>
          <w:color w:val="3a2e3f"/>
          <w:sz w:val="22"/>
          <w:szCs w:val="22"/>
        </w:rPr>
        <w:t xml:space="preserve">All 6 files are self-contained. No shared JS modules or external CSS files.</w:t>
      </w:r>
    </w:p>
    <w:p>
      <w:pPr>
        <w:spacing w:before="0" w:after="160"/>
      </w:pPr>
      <w:r>
        <w:t xml:space="preserve"/>
      </w:r>
    </w:p>
    <w:p>
      <w:pPr>
        <w:pStyle w:val="Heading2"/>
        <w:spacing w:before="280" w:after="120"/>
      </w:pPr>
      <w:r>
        <w:rPr>
          <w:rFonts w:ascii="Arial" w:cs="Arial" w:eastAsia="Arial" w:hAnsi="Arial"/>
          <w:b/>
          <w:bCs/>
          <w:color w:val="7a5080"/>
          <w:sz w:val="26"/>
          <w:szCs w:val="26"/>
        </w:rPr>
        <w:t xml:space="preserve">8.2 Assumptions</w:t>
      </w:r>
    </w:p>
    <w:p>
      <w:pPr>
        <w:pStyle w:val="ListParagraph"/>
        <w:numPr>
          <w:ilvl w:val="0"/>
          <w:numId w:val="2"/>
        </w:numPr>
        <w:spacing w:before="0" w:after="80"/>
      </w:pPr>
      <w:r>
        <w:rPr>
          <w:rFonts w:ascii="Arial" w:cs="Arial" w:eastAsia="Arial" w:hAnsi="Arial"/>
          <w:color w:val="3a2e3f"/>
          <w:sz w:val="22"/>
          <w:szCs w:val="22"/>
        </w:rPr>
        <w:t xml:space="preserve">User has a GitHub account and is comfortable with git push to deploy updates.</w:t>
      </w:r>
    </w:p>
    <w:p>
      <w:pPr>
        <w:pStyle w:val="ListParagraph"/>
        <w:numPr>
          <w:ilvl w:val="0"/>
          <w:numId w:val="2"/>
        </w:numPr>
        <w:spacing w:before="0" w:after="80"/>
      </w:pPr>
      <w:r>
        <w:rPr>
          <w:rFonts w:ascii="Arial" w:cs="Arial" w:eastAsia="Arial" w:hAnsi="Arial"/>
          <w:color w:val="3a2e3f"/>
          <w:sz w:val="22"/>
          <w:szCs w:val="22"/>
        </w:rPr>
        <w:t xml:space="preserve">User accesses the tool from a consistent browser (localStorage is browser-scoped).</w:t>
      </w:r>
    </w:p>
    <w:p>
      <w:pPr>
        <w:pStyle w:val="ListParagraph"/>
        <w:numPr>
          <w:ilvl w:val="0"/>
          <w:numId w:val="2"/>
        </w:numPr>
        <w:spacing w:before="0" w:after="80"/>
      </w:pPr>
      <w:r>
        <w:rPr>
          <w:rFonts w:ascii="Arial" w:cs="Arial" w:eastAsia="Arial" w:hAnsi="Arial"/>
          <w:color w:val="3a2e3f"/>
          <w:sz w:val="22"/>
          <w:szCs w:val="22"/>
        </w:rPr>
        <w:t xml:space="preserve">Content in draft sections (sabbatical abstract, conference proposal) will be maintained manually by the user — the tool displays and organizes content, it does not auto-generate it.</w:t>
      </w:r>
    </w:p>
    <w:p>
      <w:pPr>
        <w:pStyle w:val="ListParagraph"/>
        <w:numPr>
          <w:ilvl w:val="0"/>
          <w:numId w:val="2"/>
        </w:numPr>
        <w:spacing w:before="0" w:after="80"/>
      </w:pPr>
      <w:r>
        <w:rPr>
          <w:rFonts w:ascii="Arial" w:cs="Arial" w:eastAsia="Arial" w:hAnsi="Arial"/>
          <w:color w:val="3a2e3f"/>
          <w:sz w:val="22"/>
          <w:szCs w:val="22"/>
        </w:rPr>
        <w:t xml:space="preserve">All deadline dates in the v1 content are accurate as of March 2026 and will need to be updated by the user if they shift.</w:t>
      </w:r>
    </w:p>
    <w:p>
      <w:pPr>
        <w:pStyle w:val="ListParagraph"/>
        <w:numPr>
          <w:ilvl w:val="0"/>
          <w:numId w:val="2"/>
        </w:numPr>
        <w:spacing w:before="0" w:after="80"/>
      </w:pPr>
      <w:r>
        <w:rPr>
          <w:rFonts w:ascii="Arial" w:cs="Arial" w:eastAsia="Arial" w:hAnsi="Arial"/>
          <w:color w:val="3a2e3f"/>
          <w:sz w:val="22"/>
          <w:szCs w:val="22"/>
        </w:rPr>
        <w:t xml:space="preserve">The tool is not intended to be shared with others in v1. Multi-user support would require an auth layer and server-side storage.</w:t>
      </w:r>
    </w:p>
    <w:p>
      <w:pPr>
        <w:spacing w:before="0" w:after="160"/>
      </w:pPr>
      <w:r>
        <w:t xml:space="preserve"/>
      </w:r>
    </w:p>
    <w:p>
      <w:pPr>
        <w:pStyle w:val="Heading1"/>
        <w:pBdr>
          <w:bottom w:val="single" w:color="7a5080" w:sz="6" w:space="4"/>
        </w:pBdr>
        <w:spacing w:before="360" w:after="160"/>
      </w:pPr>
      <w:r>
        <w:rPr>
          <w:rFonts w:ascii="Arial" w:cs="Arial" w:eastAsia="Arial" w:hAnsi="Arial"/>
          <w:b/>
          <w:bCs/>
          <w:color w:val="7a5080"/>
          <w:sz w:val="32"/>
          <w:szCs w:val="32"/>
        </w:rPr>
        <w:t xml:space="preserve">9. Out of Scope — v1</w:t>
      </w:r>
    </w:p>
    <w:p>
      <w:pPr>
        <w:pStyle w:val="ListParagraph"/>
        <w:numPr>
          <w:ilvl w:val="0"/>
          <w:numId w:val="2"/>
        </w:numPr>
        <w:spacing w:before="0" w:after="80"/>
      </w:pPr>
      <w:r>
        <w:rPr>
          <w:rFonts w:ascii="Arial" w:cs="Arial" w:eastAsia="Arial" w:hAnsi="Arial"/>
          <w:color w:val="3a2e3f"/>
          <w:sz w:val="22"/>
          <w:szCs w:val="22"/>
        </w:rPr>
        <w:t xml:space="preserve">User authentication / login</w:t>
      </w:r>
    </w:p>
    <w:p>
      <w:pPr>
        <w:pStyle w:val="ListParagraph"/>
        <w:numPr>
          <w:ilvl w:val="0"/>
          <w:numId w:val="2"/>
        </w:numPr>
        <w:spacing w:before="0" w:after="80"/>
      </w:pPr>
      <w:r>
        <w:rPr>
          <w:rFonts w:ascii="Arial" w:cs="Arial" w:eastAsia="Arial" w:hAnsi="Arial"/>
          <w:color w:val="3a2e3f"/>
          <w:sz w:val="22"/>
          <w:szCs w:val="22"/>
        </w:rPr>
        <w:t xml:space="preserve">Multi-user support or team collaboration</w:t>
      </w:r>
    </w:p>
    <w:p>
      <w:pPr>
        <w:pStyle w:val="ListParagraph"/>
        <w:numPr>
          <w:ilvl w:val="0"/>
          <w:numId w:val="2"/>
        </w:numPr>
        <w:spacing w:before="0" w:after="80"/>
      </w:pPr>
      <w:r>
        <w:rPr>
          <w:rFonts w:ascii="Arial" w:cs="Arial" w:eastAsia="Arial" w:hAnsi="Arial"/>
          <w:color w:val="3a2e3f"/>
          <w:sz w:val="22"/>
          <w:szCs w:val="22"/>
        </w:rPr>
        <w:t xml:space="preserve">Mobile-first / responsive design for screens under 768px</w:t>
      </w:r>
    </w:p>
    <w:p>
      <w:pPr>
        <w:pStyle w:val="ListParagraph"/>
        <w:numPr>
          <w:ilvl w:val="0"/>
          <w:numId w:val="2"/>
        </w:numPr>
        <w:spacing w:before="0" w:after="80"/>
      </w:pPr>
      <w:r>
        <w:rPr>
          <w:rFonts w:ascii="Arial" w:cs="Arial" w:eastAsia="Arial" w:hAnsi="Arial"/>
          <w:color w:val="3a2e3f"/>
          <w:sz w:val="22"/>
          <w:szCs w:val="22"/>
        </w:rPr>
        <w:t xml:space="preserve">Calendar integration (Google Calendar, Outlook)</w:t>
      </w:r>
    </w:p>
    <w:p>
      <w:pPr>
        <w:pStyle w:val="ListParagraph"/>
        <w:numPr>
          <w:ilvl w:val="0"/>
          <w:numId w:val="2"/>
        </w:numPr>
        <w:spacing w:before="0" w:after="80"/>
      </w:pPr>
      <w:r>
        <w:rPr>
          <w:rFonts w:ascii="Arial" w:cs="Arial" w:eastAsia="Arial" w:hAnsi="Arial"/>
          <w:color w:val="3a2e3f"/>
          <w:sz w:val="22"/>
          <w:szCs w:val="22"/>
        </w:rPr>
        <w:t xml:space="preserve">LMS integration (Canvas)</w:t>
      </w:r>
    </w:p>
    <w:p>
      <w:pPr>
        <w:pStyle w:val="ListParagraph"/>
        <w:numPr>
          <w:ilvl w:val="0"/>
          <w:numId w:val="2"/>
        </w:numPr>
        <w:spacing w:before="0" w:after="80"/>
      </w:pPr>
      <w:r>
        <w:rPr>
          <w:rFonts w:ascii="Arial" w:cs="Arial" w:eastAsia="Arial" w:hAnsi="Arial"/>
          <w:color w:val="3a2e3f"/>
          <w:sz w:val="22"/>
          <w:szCs w:val="22"/>
        </w:rPr>
        <w:t xml:space="preserve">Email or push notifications for deadlines</w:t>
      </w:r>
    </w:p>
    <w:p>
      <w:pPr>
        <w:pStyle w:val="ListParagraph"/>
        <w:numPr>
          <w:ilvl w:val="0"/>
          <w:numId w:val="2"/>
        </w:numPr>
        <w:spacing w:before="0" w:after="80"/>
      </w:pPr>
      <w:r>
        <w:rPr>
          <w:rFonts w:ascii="Arial" w:cs="Arial" w:eastAsia="Arial" w:hAnsi="Arial"/>
          <w:color w:val="3a2e3f"/>
          <w:sz w:val="22"/>
          <w:szCs w:val="22"/>
        </w:rPr>
        <w:t xml:space="preserve">AI-generated content or in-tool AI chat</w:t>
      </w:r>
    </w:p>
    <w:p>
      <w:pPr>
        <w:pStyle w:val="ListParagraph"/>
        <w:numPr>
          <w:ilvl w:val="0"/>
          <w:numId w:val="2"/>
        </w:numPr>
        <w:spacing w:before="0" w:after="80"/>
      </w:pPr>
      <w:r>
        <w:rPr>
          <w:rFonts w:ascii="Arial" w:cs="Arial" w:eastAsia="Arial" w:hAnsi="Arial"/>
          <w:color w:val="3a2e3f"/>
          <w:sz w:val="22"/>
          <w:szCs w:val="22"/>
        </w:rPr>
        <w:t xml:space="preserve">Backend API or database</w:t>
      </w:r>
    </w:p>
    <w:p>
      <w:pPr>
        <w:pStyle w:val="ListParagraph"/>
        <w:numPr>
          <w:ilvl w:val="0"/>
          <w:numId w:val="2"/>
        </w:numPr>
        <w:spacing w:before="0" w:after="80"/>
      </w:pPr>
      <w:r>
        <w:rPr>
          <w:rFonts w:ascii="Arial" w:cs="Arial" w:eastAsia="Arial" w:hAnsi="Arial"/>
          <w:color w:val="3a2e3f"/>
          <w:sz w:val="22"/>
          <w:szCs w:val="22"/>
        </w:rPr>
        <w:t xml:space="preserve">Search across all pages</w:t>
      </w:r>
    </w:p>
    <w:p>
      <w:pPr>
        <w:pStyle w:val="ListParagraph"/>
        <w:numPr>
          <w:ilvl w:val="0"/>
          <w:numId w:val="2"/>
        </w:numPr>
        <w:spacing w:before="0" w:after="80"/>
      </w:pPr>
      <w:r>
        <w:rPr>
          <w:rFonts w:ascii="Arial" w:cs="Arial" w:eastAsia="Arial" w:hAnsi="Arial"/>
          <w:color w:val="3a2e3f"/>
          <w:sz w:val="22"/>
          <w:szCs w:val="22"/>
        </w:rPr>
        <w:t xml:space="preserve">Automated RSS refresh (currently manual page reload)</w:t>
      </w:r>
    </w:p>
    <w:p>
      <w:pPr>
        <w:spacing w:before="0" w:after="160"/>
      </w:pPr>
      <w:r>
        <w:t xml:space="preserve"/>
      </w:r>
    </w:p>
    <w:p>
      <w:pPr>
        <w:pStyle w:val="Heading1"/>
        <w:pBdr>
          <w:bottom w:val="single" w:color="7a5080" w:sz="6" w:space="4"/>
        </w:pBdr>
        <w:spacing w:before="360" w:after="160"/>
      </w:pPr>
      <w:r>
        <w:rPr>
          <w:rFonts w:ascii="Arial" w:cs="Arial" w:eastAsia="Arial" w:hAnsi="Arial"/>
          <w:b/>
          <w:bCs/>
          <w:color w:val="7a5080"/>
          <w:sz w:val="32"/>
          <w:szCs w:val="32"/>
        </w:rPr>
        <w:t xml:space="preserve">10. Open Questions &amp; Future Iterations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4860"/>
      </w:tblGrid>
      <w:tr>
        <w:tc>
          <w:tcPr>
            <w:tcW w:type="dxa" w:w="5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t>
            </w:r>
          </w:p>
        </w:tc>
        <w:tc>
          <w:tcPr>
            <w:tcW w:type="dxa" w:w="4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Question</w:t>
            </w:r>
          </w:p>
        </w:tc>
        <w:tc>
          <w:tcPr>
            <w:tcW w:type="dxa" w:w="48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Should the sabbatical draft content sections be editable in-browser?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v1 treats draft as read-only display. ContentEditable or a simple textarea could allow inline editing with localStorage save.</w:t>
            </w:r>
          </w:p>
        </w:tc>
      </w:tr>
      <w:tr>
        <w:tc>
          <w:tcPr>
            <w:tcW w:type="dxa" w:w="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What is the specific GCC student persistence retention statistic to insert in the sabbatical abstract?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Highlighted placeholder exists in abstract and impact sections. Obtain from institutional research or Dean's communications before Oct 1 submission.</w:t>
            </w:r>
          </w:p>
        </w:tc>
      </w:tr>
      <w:tr>
        <w:tc>
          <w:tcPr>
            <w:tcW w:type="dxa" w:w="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Should this system be adapted for GCC students (AVC 248 career dashboard)?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 student-facing version of this tool is referenced in P1 (AVC 248 student dashboard). Would require adapting resource types, removing sabbatical section, and potentially adding auth.</w:t>
            </w:r>
          </w:p>
        </w:tc>
      </w:tr>
      <w:tr>
        <w:tc>
          <w:tcPr>
            <w:tcW w:type="dxa" w:w="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Should the news feed refresh automatically or on a schedule?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v1 refreshes on page load only. Auto-refresh interval or a service worker could enable background updates.</w:t>
            </w:r>
          </w:p>
        </w:tc>
      </w:tr>
      <w:tr>
        <w:tc>
          <w:tcPr>
            <w:tcW w:type="dxa" w:w="5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If building this for a team (e.g., GCC AI CoP members), what is the minimum viable backend?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 simple Supabase or Firebase instance with anonymous session IDs could replace localStorage with minimal infrastructure while preserving the zero-login experience.</w:t>
            </w:r>
          </w:p>
        </w:tc>
      </w:tr>
    </w:tbl>
    <w:p>
      <w:pPr>
        <w:spacing w:before="0" w:after="160"/>
      </w:pPr>
      <w:r>
        <w:t xml:space="preserve"/>
      </w:r>
    </w:p>
    <w:p>
      <w:r>
        <w:br w:type="page"/>
      </w:r>
    </w:p>
    <w:p>
      <w:pPr>
        <w:pStyle w:val="Heading1"/>
        <w:pBdr>
          <w:bottom w:val="single" w:color="7a5080" w:sz="6" w:space="4"/>
        </w:pBdr>
        <w:spacing w:before="360" w:after="160"/>
      </w:pPr>
      <w:r>
        <w:rPr>
          <w:rFonts w:ascii="Arial" w:cs="Arial" w:eastAsia="Arial" w:hAnsi="Arial"/>
          <w:b/>
          <w:bCs/>
          <w:color w:val="7a5080"/>
          <w:sz w:val="32"/>
          <w:szCs w:val="32"/>
        </w:rPr>
        <w:t xml:space="preserve">11. Working with This Document in Project Management Tools</w:t>
      </w:r>
    </w:p>
    <w:p>
      <w:pPr>
        <w:pStyle w:val="Heading2"/>
        <w:spacing w:before="280" w:after="120"/>
      </w:pPr>
      <w:r>
        <w:rPr>
          <w:rFonts w:ascii="Arial" w:cs="Arial" w:eastAsia="Arial" w:hAnsi="Arial"/>
          <w:b/>
          <w:bCs/>
          <w:color w:val="7a5080"/>
          <w:sz w:val="26"/>
          <w:szCs w:val="26"/>
        </w:rPr>
        <w:t xml:space="preserve">11.1 Jira — Free Trial</w:t>
      </w:r>
    </w:p>
    <w:p>
      <w:pPr>
        <w:spacing w:before="0" w:after="120"/>
        <w:jc w:val="left"/>
      </w:pPr>
      <w:r>
        <w:rPr>
          <w:rFonts w:ascii="Arial" w:cs="Arial" w:eastAsia="Arial" w:hAnsi="Arial"/>
          <w:b w:val="false"/>
          <w:bCs w:val="false"/>
          <w:i w:val="false"/>
          <w:iCs w:val="false"/>
          <w:color w:val="3a2e3f"/>
          <w:sz w:val="22"/>
          <w:szCs w:val="22"/>
        </w:rPr>
        <w:t xml:space="preserve">Yes — Jira has a free tier that works well for a personal project like this. Here is what to know:</w:t>
      </w:r>
    </w:p>
    <w:p>
      <w:pPr>
        <w:spacing w:before="0" w:after="80"/>
      </w:pPr>
      <w:r>
        <w:t xml:space="preserve"/>
      </w:r>
    </w:p>
    <w:p>
      <w:pPr>
        <w:pStyle w:val="ListParagraph"/>
        <w:numPr>
          <w:ilvl w:val="0"/>
          <w:numId w:val="2"/>
        </w:numPr>
        <w:spacing w:before="0" w:after="80"/>
      </w:pPr>
      <w:r>
        <w:rPr>
          <w:rFonts w:ascii="Arial" w:cs="Arial" w:eastAsia="Arial" w:hAnsi="Arial"/>
          <w:b/>
          <w:bCs/>
          <w:color w:val="3a2e3f"/>
          <w:sz w:val="22"/>
          <w:szCs w:val="22"/>
        </w:rPr>
        <w:t xml:space="preserve"> allows up to 10 users, unlimited projects, basic roadmaps. Go to atlassian.com/software/jira and click "Get it free."</w:t>
      </w:r>
      <w:r>
        <w:rPr>
          <w:rFonts w:ascii="Arial" w:cs="Arial" w:eastAsia="Arial" w:hAnsi="Arial"/>
          <w:color w:val="3a2e3f"/>
          <w:sz w:val="22"/>
          <w:szCs w:val="22"/>
        </w:rPr>
        <w:t xml:space="preserve">Free plan</w:t>
      </w:r>
    </w:p>
    <w:p>
      <w:pPr>
        <w:pStyle w:val="ListParagraph"/>
        <w:numPr>
          <w:ilvl w:val="0"/>
          <w:numId w:val="2"/>
        </w:numPr>
        <w:spacing w:before="0" w:after="80"/>
      </w:pPr>
      <w:r>
        <w:rPr>
          <w:rFonts w:ascii="Arial" w:cs="Arial" w:eastAsia="Arial" w:hAnsi="Arial"/>
          <w:b/>
          <w:bCs/>
          <w:color w:val="3a2e3f"/>
          <w:sz w:val="22"/>
          <w:szCs w:val="22"/>
        </w:rPr>
        <w:t xml:space="preserve"> for the free tier. You get a Jira Cloud instance at yoursite.atlassian.net.</w:t>
      </w:r>
      <w:r>
        <w:rPr>
          <w:rFonts w:ascii="Arial" w:cs="Arial" w:eastAsia="Arial" w:hAnsi="Arial"/>
          <w:color w:val="3a2e3f"/>
          <w:sz w:val="22"/>
          <w:szCs w:val="22"/>
        </w:rPr>
        <w:t xml:space="preserve">No credit card required</w:t>
      </w:r>
    </w:p>
    <w:p>
      <w:pPr>
        <w:pStyle w:val="ListParagraph"/>
        <w:numPr>
          <w:ilvl w:val="0"/>
          <w:numId w:val="2"/>
        </w:numPr>
        <w:spacing w:before="0" w:after="80"/>
      </w:pPr>
      <w:r>
        <w:rPr>
          <w:rFonts w:ascii="Arial" w:cs="Arial" w:eastAsia="Arial" w:hAnsi="Arial"/>
          <w:b/>
          <w:bCs/>
          <w:color w:val="3a2e3f"/>
          <w:sz w:val="22"/>
          <w:szCs w:val="22"/>
        </w:rPr>
        <w:t xml:space="preserve">, Jira is somewhat heavy. Alternatives worth considering:</w:t>
      </w:r>
      <w:r>
        <w:rPr>
          <w:rFonts w:ascii="Arial" w:cs="Arial" w:eastAsia="Arial" w:hAnsi="Arial"/>
          <w:color w:val="3a2e3f"/>
          <w:sz w:val="22"/>
          <w:szCs w:val="22"/>
        </w:rPr>
        <w:t xml:space="preserve">For a solo PM project</w:t>
      </w:r>
    </w:p>
    <w:p>
      <w:pPr>
        <w:pStyle w:val="ListParagraph"/>
        <w:numPr>
          <w:ilvl w:val="0"/>
          <w:numId w:val="3"/>
        </w:numPr>
        <w:spacing w:before="0" w:after="60"/>
      </w:pPr>
      <w:r>
        <w:rPr>
          <w:rFonts w:ascii="Arial" w:cs="Arial" w:eastAsia="Arial" w:hAnsi="Arial"/>
          <w:color w:val="8a7e7a"/>
          <w:sz w:val="20"/>
          <w:szCs w:val="20"/>
        </w:rPr>
        <w:t xml:space="preserve">Linear (linear.app) — faster, cleaner, free for personal use; better for solo/small team</w:t>
      </w:r>
    </w:p>
    <w:p>
      <w:pPr>
        <w:pStyle w:val="ListParagraph"/>
        <w:numPr>
          <w:ilvl w:val="0"/>
          <w:numId w:val="3"/>
        </w:numPr>
        <w:spacing w:before="0" w:after="60"/>
      </w:pPr>
      <w:r>
        <w:rPr>
          <w:rFonts w:ascii="Arial" w:cs="Arial" w:eastAsia="Arial" w:hAnsi="Arial"/>
          <w:color w:val="8a7e7a"/>
          <w:sz w:val="20"/>
          <w:szCs w:val="20"/>
        </w:rPr>
        <w:t xml:space="preserve">Notion — free, flexible, works well as a lightweight PRD + kanban combo</w:t>
      </w:r>
    </w:p>
    <w:p>
      <w:pPr>
        <w:pStyle w:val="ListParagraph"/>
        <w:numPr>
          <w:ilvl w:val="0"/>
          <w:numId w:val="3"/>
        </w:numPr>
        <w:spacing w:before="0" w:after="60"/>
      </w:pPr>
      <w:r>
        <w:rPr>
          <w:rFonts w:ascii="Arial" w:cs="Arial" w:eastAsia="Arial" w:hAnsi="Arial"/>
          <w:color w:val="8a7e7a"/>
          <w:sz w:val="20"/>
          <w:szCs w:val="20"/>
        </w:rPr>
        <w:t xml:space="preserve">GitHub Projects — free, built into GitHub where your site already lives; boards + issues</w:t>
      </w:r>
    </w:p>
    <w:p>
      <w:pPr>
        <w:pStyle w:val="ListParagraph"/>
        <w:numPr>
          <w:ilvl w:val="0"/>
          <w:numId w:val="3"/>
        </w:numPr>
        <w:spacing w:before="0" w:after="60"/>
      </w:pPr>
      <w:r>
        <w:rPr>
          <w:rFonts w:ascii="Arial" w:cs="Arial" w:eastAsia="Arial" w:hAnsi="Arial"/>
          <w:color w:val="8a7e7a"/>
          <w:sz w:val="20"/>
          <w:szCs w:val="20"/>
        </w:rPr>
        <w:t xml:space="preserve">Trello — free, simple kanban; owned by Atlassian same as Jira</w:t>
      </w:r>
    </w:p>
    <w:p>
      <w:pPr>
        <w:spacing w:before="0" w:after="80"/>
      </w:pPr>
      <w:r>
        <w:t xml:space="preserve"/>
      </w:r>
    </w:p>
    <w:p>
      <w:pPr>
        <w:spacing w:before="0" w:after="120"/>
        <w:jc w:val="left"/>
      </w:pPr>
      <w:r>
        <w:rPr>
          <w:rFonts w:ascii="Arial" w:cs="Arial" w:eastAsia="Arial" w:hAnsi="Arial"/>
          <w:b/>
          <w:bCs/>
          <w:i w:val="false"/>
          <w:iCs w:val="false"/>
          <w:color w:val="3a2e3f"/>
          <w:sz w:val="22"/>
          <w:szCs w:val="22"/>
        </w:rPr>
        <w:t xml:space="preserve">If you use Jira, the recommended structure for this PRD is: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Jira Concept</w:t>
            </w:r>
          </w:p>
        </w:tc>
        <w:tc>
          <w:tcPr>
            <w:tcW w:type="dxa" w:w="32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Maps To</w:t>
            </w:r>
          </w:p>
        </w:tc>
        <w:tc>
          <w:tcPr>
            <w:tcW w:type="dxa" w:w="41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Epic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 page or major feature area</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EPIC: AI Resources Hub / EPIC: Sabbatical Workspace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 user story from Section 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US-05: As a faculty member, I want the rubric and draft content in the same place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Task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 specific feature from Section 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Build 14-item submission checklist with localStorage persistence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Bug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 defect found during review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pd-plan.html: script truncated — missing &lt;/script&gt;&lt;/body&gt;&lt;/html&gt;</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Label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Priority (P1/P2/P3)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Label: p1-critical, p2-should-have, p3-nice-to-have</w:t>
            </w:r>
          </w:p>
        </w:tc>
      </w:tr>
      <w:tr>
        <w:tc>
          <w:tcPr>
            <w:tcW w:type="dxa" w:w="2000"/>
            <w:tcBorders>
              <w:top w:val="single" w:color="CCCCCC" w:sz="1"/>
              <w:left w:val="single" w:color="CCCCCC" w:sz="1"/>
              <w:bottom w:val="single" w:color="CCCCCC" w:sz="1"/>
              <w:right w:val="single" w:color="CCCCCC" w:sz="1"/>
            </w:tcBorders>
            <w:shd w:fill="f2ebe4"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Sprint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 time-boxed delivery window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Sprint 1: All P1 features shipped / Sprint 2: P2 polish pass</w:t>
            </w:r>
          </w:p>
        </w:tc>
      </w:tr>
    </w:tbl>
    <w:p>
      <w:pPr>
        <w:spacing w:before="0" w:after="160"/>
      </w:pPr>
      <w:r>
        <w:t xml:space="preserve"/>
      </w:r>
    </w:p>
    <w:p>
      <w:pPr>
        <w:pStyle w:val="Heading2"/>
        <w:spacing w:before="280" w:after="120"/>
      </w:pPr>
      <w:r>
        <w:rPr>
          <w:rFonts w:ascii="Arial" w:cs="Arial" w:eastAsia="Arial" w:hAnsi="Arial"/>
          <w:b/>
          <w:bCs/>
          <w:color w:val="7a5080"/>
          <w:sz w:val="26"/>
          <w:szCs w:val="26"/>
        </w:rPr>
        <w:t xml:space="preserve">11.2 Recommended Starting Point</w:t>
      </w:r>
    </w:p>
    <w:p>
      <w:pPr>
        <w:spacing w:before="0" w:after="120"/>
        <w:jc w:val="left"/>
      </w:pPr>
      <w:r>
        <w:rPr>
          <w:rFonts w:ascii="Arial" w:cs="Arial" w:eastAsia="Arial" w:hAnsi="Arial"/>
          <w:b w:val="false"/>
          <w:bCs w:val="false"/>
          <w:i w:val="false"/>
          <w:iCs w:val="false"/>
          <w:color w:val="3a2e3f"/>
          <w:sz w:val="22"/>
          <w:szCs w:val="22"/>
        </w:rPr>
        <w:t xml:space="preserve">Given that this is a solo project already in flight, the most practical tool is GitHub Projects — it is free, already integrated with your repo at singletrackmom.github.io, and lets you create issues directly from this PRD. Each user story in Section 6 becomes a GitHub Issue, labeled by priority, and tracked on a simple kanban board.</w:t>
      </w:r>
    </w:p>
    <w:p>
      <w:pPr>
        <w:spacing w:before="0" w:after="120"/>
        <w:jc w:val="left"/>
      </w:pPr>
      <w:r>
        <w:rPr>
          <w:rFonts w:ascii="Arial" w:cs="Arial" w:eastAsia="Arial" w:hAnsi="Arial"/>
          <w:b w:val="false"/>
          <w:bCs w:val="false"/>
          <w:i w:val="false"/>
          <w:iCs w:val="false"/>
          <w:color w:val="3a2e3f"/>
          <w:sz w:val="22"/>
          <w:szCs w:val="22"/>
        </w:rPr>
        <w:t xml:space="preserve">If you do set up Jira for a future multi-person project (e.g., leading the AI CoP or a student tool build), the structure above maps cleanly to Jira's epic/story/task hierarchy.</w:t>
      </w:r>
    </w:p>
    <w:p>
      <w:pPr>
        <w:spacing w:before="0" w:after="160"/>
      </w:pPr>
      <w:r>
        <w:t xml:space="preserve"/>
      </w:r>
    </w:p>
    <w:p>
      <w:pPr>
        <w:pStyle w:val="Heading1"/>
        <w:pBdr>
          <w:bottom w:val="single" w:color="7a5080" w:sz="6" w:space="4"/>
        </w:pBdr>
        <w:spacing w:before="360" w:after="160"/>
      </w:pPr>
      <w:r>
        <w:rPr>
          <w:rFonts w:ascii="Arial" w:cs="Arial" w:eastAsia="Arial" w:hAnsi="Arial"/>
          <w:b/>
          <w:bCs/>
          <w:color w:val="7a5080"/>
          <w:sz w:val="32"/>
          <w:szCs w:val="32"/>
        </w:rPr>
        <w:t xml:space="preserve">Appendix A — Key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Date</w:t>
            </w:r>
          </w:p>
        </w:tc>
        <w:tc>
          <w:tcPr>
            <w:tcW w:type="dxa" w:w="240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Event</w:t>
            </w:r>
          </w:p>
        </w:tc>
        <w:tc>
          <w:tcPr>
            <w:tcW w:type="dxa" w:w="4560"/>
            <w:tcBorders>
              <w:top w:val="single" w:color="7a5080" w:sz="1"/>
              <w:left w:val="single" w:color="7a5080" w:sz="1"/>
              <w:bottom w:val="single" w:color="7a5080" w:sz="1"/>
              <w:right w:val="single" w:color="7a5080" w:sz="1"/>
            </w:tcBorders>
            <w:shd w:fill="7a508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March 23,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 Mesa CFP Deadline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Submit session proposal to 2026 AI Summit @ Mesa CC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April 1,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Mesa notification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Acceptance/rejection for May 18 conference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April–May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Campus meetings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Meet CTLE Director, VP Konopka, Dean Campbell about AI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May 15,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AVC 248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Student career dashboard complete for Digital Media Arts course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May 18,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Mesa AI Summit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8:30am–3:30pm · Mesa CC Southern &amp; Dobson · LB-300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September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GCC AI CoP Launch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Session 1: Google AI for Educators as shared baseline</w:t>
            </w:r>
          </w:p>
        </w:tc>
      </w:tr>
      <w:tr>
        <w:tc>
          <w:tcPr>
            <w:tcW w:type="dxa" w:w="2400"/>
            <w:tcBorders>
              <w:top w:val="single" w:color="CCCCCC" w:sz="1"/>
              <w:left w:val="single" w:color="CCCCCC" w:sz="1"/>
              <w:bottom w:val="single" w:color="CCCCCC" w:sz="1"/>
              <w:right w:val="single" w:color="CCCCCC" w:sz="1"/>
            </w:tcBorders>
            <w:shd w:fill="f5e8eb" w:val="clear"/>
            <w:tcMar>
              <w:top w:type="dxa" w:w="80"/>
              <w:left w:type="dxa" w:w="120"/>
              <w:bottom w:type="dxa" w:w="80"/>
              <w:right w:type="dxa" w:w="120"/>
            </w:tcMar>
            <w:vAlign w:val="top"/>
          </w:tcPr>
          <w:p>
            <w:pPr>
              <w:spacing w:before="0" w:after="120"/>
              <w:jc w:val="left"/>
            </w:pPr>
            <w:r>
              <w:rPr>
                <w:rFonts w:ascii="Arial" w:cs="Arial" w:eastAsia="Arial" w:hAnsi="Arial"/>
                <w:b/>
                <w:bCs/>
                <w:i w:val="false"/>
                <w:iCs w:val="false"/>
                <w:color w:val="3a2e3f"/>
                <w:sz w:val="20"/>
                <w:szCs w:val="20"/>
              </w:rPr>
              <w:t xml:space="preserve">Oct 1, 2026, 3:00 PM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 Sabbatical Proposal Due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Single PDF via Google Drive; share with VPAA + FPG; transfer ownership to sylvia.enriquez@domail.maricopa.edu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Oct 14–16,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NAAIC Summit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National AI Summit · Chandler, AZ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Aug–Dec 2027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Sabbatical Leave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Research and prototype development period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May 2028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EdTech PM Transition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before="0" w:after="120"/>
              <w:jc w:val="left"/>
            </w:pPr>
            <w:r>
              <w:rPr>
                <w:rFonts w:ascii="Arial" w:cs="Arial" w:eastAsia="Arial" w:hAnsi="Arial"/>
                <w:b w:val="false"/>
                <w:bCs w:val="false"/>
                <w:i w:val="false"/>
                <w:iCs w:val="false"/>
                <w:color w:val="3a2e3f"/>
                <w:sz w:val="20"/>
                <w:szCs w:val="20"/>
              </w:rPr>
              <w:t xml:space="preserve">Target end-state of 2026–2028 professional development plan</w:t>
            </w:r>
          </w:p>
        </w:tc>
      </w:tr>
    </w:tbl>
    <w:p>
      <w:pPr>
        <w:spacing w:before="400" w:after="0"/>
      </w:pPr>
      <w:r>
        <w:t xml:space="preserve"/>
      </w:r>
    </w:p>
    <w:p>
      <w:pPr>
        <w:pStyle w:val="Heading1"/>
        <w:spacing w:before="360" w:after="160"/>
      </w:pPr>
      <w:r>
        <w:rPr>
          <w:rFonts w:ascii="Arial" w:cs="Arial" w:hAnsi="Arial"/>
          <w:b/>
          <w:bCs/>
          <w:color w:val="7a5080"/>
          <w:sz w:val="28"/>
          <w:szCs w:val="28"/>
        </w:rPr>
        <w:t xml:space="preserve">Appendix B — RSS Source Library (62 Sources)</w:t>
      </w:r>
    </w:p>
    <w:p>
      <w:pPr>
        <w:spacing w:before="0" w:after="120"/>
      </w:pPr>
      <w:r>
        <w:rPr>
          <w:rFonts w:ascii="Arial" w:cs="Arial" w:hAnsi="Arial"/>
          <w:color w:val="3a2e3f"/>
          <w:sz w:val="20"/>
          <w:szCs w:val="20"/>
        </w:rPr>
        <w:t xml:space="preserve">All 62 sources below are fetched on every page load and searched for content relevant to each subject tab. Sources span top AI research universities, national higher ed publications, UX and design journals, and product management media. Every source has a public RSS feed. The keyword classifier routes each article to the most relevant tab — any source can contribute to any tab. University lab sources are listed in order of national AI program ranking.</w:t>
      </w:r>
    </w:p>
    <w:tbl>
      <w:tblPr>
        <w:tblW w:type="dxa" w:w="9360"/>
        <w:tblBorders>
          <w:top w:val="single" w:color="ddd3c8" w:sz="4"/>
          <w:left w:val="single" w:color="ddd3c8" w:sz="1"/>
          <w:bottom w:val="single" w:color="ddd3c8" w:sz="4"/>
          <w:right w:val="single" w:color="ddd3c8" w:sz="1"/>
          <w:insideH w:val="single" w:color="ddd3c8" w:sz="1"/>
          <w:insideV w:val="single" w:color="ddd3c8" w:sz="1"/>
        </w:tblBorders>
      </w:tblPr>
      <w:tblGrid>
        <w:gridCol w:w="360"/>
        <w:gridCol w:w="3000"/>
        <w:gridCol w:w="1600"/>
        <w:gridCol w:w="4400"/>
      </w:tblGrid>
      <w:tr>
        <w:tc>
          <w:tcPr>
            <w:tcW w:type="dxa" w:w="360"/>
            <w:shd w:fill="7a5080" w:val="clear"/>
            <w:tcMar>
              <w:top w:type="dxa" w:w="80"/>
              <w:left w:type="dxa" w:w="120"/>
              <w:bottom w:type="dxa" w:w="80"/>
              <w:right w:type="dxa" w:w="120"/>
            </w:tcMar>
          </w:tcPr>
          <w:p>
            <w:r>
              <w:rPr>
                <w:rFonts w:ascii="Arial" w:cs="Arial" w:hAnsi="Arial"/>
                <w:b/>
                <w:bCs/>
                <w:color w:val="FFFFFF"/>
                <w:sz w:val="18"/>
                <w:szCs w:val="18"/>
              </w:rPr>
              <w:t xml:space="preserve">#</w:t>
            </w:r>
          </w:p>
        </w:tc>
        <w:tc>
          <w:tcPr>
            <w:tcW w:type="dxa" w:w="3000"/>
            <w:shd w:fill="7a5080" w:val="clear"/>
            <w:tcMar>
              <w:top w:type="dxa" w:w="80"/>
              <w:left w:type="dxa" w:w="120"/>
              <w:bottom w:type="dxa" w:w="80"/>
              <w:right w:type="dxa" w:w="120"/>
            </w:tcMar>
          </w:tcPr>
          <w:p>
            <w:r>
              <w:rPr>
                <w:rFonts w:ascii="Arial" w:cs="Arial" w:hAnsi="Arial"/>
                <w:b/>
                <w:bCs/>
                <w:color w:val="FFFFFF"/>
                <w:sz w:val="18"/>
                <w:szCs w:val="18"/>
              </w:rPr>
              <w:t xml:space="preserve">Source &amp; RSS Feed URL</w:t>
            </w:r>
          </w:p>
        </w:tc>
        <w:tc>
          <w:tcPr>
            <w:tcW w:type="dxa" w:w="1600"/>
            <w:shd w:fill="7a5080" w:val="clear"/>
            <w:tcMar>
              <w:top w:type="dxa" w:w="80"/>
              <w:left w:type="dxa" w:w="120"/>
              <w:bottom w:type="dxa" w:w="80"/>
              <w:right w:type="dxa" w:w="120"/>
            </w:tcMar>
          </w:tcPr>
          <w:p>
            <w:r>
              <w:rPr>
                <w:rFonts w:ascii="Arial" w:cs="Arial" w:hAnsi="Arial"/>
                <w:b/>
                <w:bCs/>
                <w:color w:val="FFFFFF"/>
                <w:sz w:val="18"/>
                <w:szCs w:val="18"/>
              </w:rPr>
              <w:t xml:space="preserve">Category</w:t>
            </w:r>
          </w:p>
        </w:tc>
        <w:tc>
          <w:tcPr>
            <w:tcW w:type="dxa" w:w="4400"/>
            <w:shd w:fill="7a5080" w:val="clear"/>
            <w:tcMar>
              <w:top w:type="dxa" w:w="80"/>
              <w:left w:type="dxa" w:w="120"/>
              <w:bottom w:type="dxa" w:w="80"/>
              <w:right w:type="dxa" w:w="120"/>
            </w:tcMar>
          </w:tcPr>
          <w:p>
            <w:r>
              <w:rPr>
                <w:rFonts w:ascii="Arial" w:cs="Arial" w:hAnsi="Arial"/>
                <w:b/>
                <w:bCs/>
                <w:color w:val="FFFFFF"/>
                <w:sz w:val="18"/>
                <w:szCs w:val="18"/>
              </w:rPr>
              <w:t xml:space="preserve">Why Selected</w:t>
            </w:r>
          </w:p>
        </w:tc>
      </w:tr>
      <w:tr>
        <w:tc>
          <w:tcPr>
            <w:tcW w:type="dxa" w:w="9360"/>
            <w:gridSpan w:val="4"/>
            <w:tcBorders>
              <w:top w:val="single" w:color="7a5080" w:sz="6"/>
              <w:bottom w:val="single" w:color="7a5080" w:sz="1"/>
            </w:tcBorders>
            <w:shd w:fill="ede4f2" w:val="clear"/>
            <w:tcMar>
              <w:top w:type="dxa" w:w="80"/>
              <w:left w:type="dxa" w:w="120"/>
              <w:bottom w:type="dxa" w:w="60"/>
              <w:right w:type="dxa" w:w="120"/>
            </w:tcMar>
          </w:tcPr>
          <w:p>
            <w:r>
              <w:rPr>
                <w:rFonts w:ascii="Arial" w:cs="Arial" w:hAnsi="Arial"/>
                <w:b/>
                <w:bCs/>
                <w:color w:val="7a5080"/>
                <w:sz w:val="20"/>
                <w:szCs w:val="20"/>
              </w:rPr>
              <w:t xml:space="preserve">General AI &amp; Tech (7 sources)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1</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MIT Technology Review</w:t>
            </w:r>
          </w:p>
          <w:p>
            <w:r>
              <w:rPr>
                <w:rFonts w:ascii="Arial" w:cs="Arial" w:hAnsi="Arial"/>
                <w:color w:val="7a5080"/>
                <w:sz w:val="16"/>
                <w:szCs w:val="16"/>
              </w:rPr>
              <w:t xml:space="preserve">https://feeds.technologyreview.com/stories.rss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General AI &amp; 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Gold standard for AI journalism — rigorous, research-grounded reporting since 1899</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2</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Wired AI</w:t>
            </w:r>
          </w:p>
          <w:p>
            <w:r>
              <w:rPr>
                <w:rFonts w:ascii="Arial" w:cs="Arial" w:hAnsi="Arial"/>
                <w:color w:val="7a5080"/>
                <w:sz w:val="16"/>
                <w:szCs w:val="16"/>
              </w:rPr>
              <w:t xml:space="preserve">https://www.wired.com/feed/tag/ai/latest/rss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General AI &amp; 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Broad AI coverage with strong policy, culture, and technology angles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3</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VentureBeat AI</w:t>
            </w:r>
          </w:p>
          <w:p>
            <w:r>
              <w:rPr>
                <w:rFonts w:ascii="Arial" w:cs="Arial" w:hAnsi="Arial"/>
                <w:color w:val="7a5080"/>
                <w:sz w:val="16"/>
                <w:szCs w:val="16"/>
              </w:rPr>
              <w:t xml:space="preserve">https://venturebeat.com/category/ai/feed/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General AI &amp; 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Enterprise AI adoption, product launches, and industry trends</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4</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The Verge AI</w:t>
            </w:r>
          </w:p>
          <w:p>
            <w:r>
              <w:rPr>
                <w:rFonts w:ascii="Arial" w:cs="Arial" w:hAnsi="Arial"/>
                <w:color w:val="7a5080"/>
                <w:sz w:val="16"/>
                <w:szCs w:val="16"/>
              </w:rPr>
              <w:t xml:space="preserve">https://www.theverge.com/rss/ai-artificial-intelligence/index.xml</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General AI &amp; 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Consumer-facing AI tools coverage; strong on products faculty and students actually use</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5</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Technology Networks</w:t>
            </w:r>
          </w:p>
          <w:p>
            <w:r>
              <w:rPr>
                <w:rFonts w:ascii="Arial" w:cs="Arial" w:hAnsi="Arial"/>
                <w:color w:val="7a5080"/>
                <w:sz w:val="16"/>
                <w:szCs w:val="16"/>
              </w:rPr>
              <w:t xml:space="preserve">https://www.technologynetworks.com/rss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General AI &amp; 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Science and technology news bridging research and real-world application</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6</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Google AI Blog</w:t>
            </w:r>
          </w:p>
          <w:p>
            <w:r>
              <w:rPr>
                <w:rFonts w:ascii="Arial" w:cs="Arial" w:hAnsi="Arial"/>
                <w:color w:val="7a5080"/>
                <w:sz w:val="16"/>
                <w:szCs w:val="16"/>
              </w:rPr>
              <w:t xml:space="preserve">https://blog.research.google/feeds/posts/default</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General AI &amp; 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Primary source for Google DeepMind and Google Research announcements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7</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Anthropic News</w:t>
            </w:r>
          </w:p>
          <w:p>
            <w:r>
              <w:rPr>
                <w:rFonts w:ascii="Arial" w:cs="Arial" w:hAnsi="Arial"/>
                <w:color w:val="7a5080"/>
                <w:sz w:val="16"/>
                <w:szCs w:val="16"/>
              </w:rPr>
              <w:t xml:space="preserve">https://www.anthropic.com/news/rss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General AI &amp; 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Direct source for Claude / Anthropic updates — directly relevant to GCC Canvas LTI integration</w:t>
            </w:r>
          </w:p>
        </w:tc>
      </w:tr>
      <w:tr>
        <w:tc>
          <w:tcPr>
            <w:tcW w:type="dxa" w:w="9360"/>
            <w:gridSpan w:val="4"/>
            <w:tcBorders>
              <w:top w:val="single" w:color="7a5080" w:sz="6"/>
              <w:bottom w:val="single" w:color="7a5080" w:sz="1"/>
            </w:tcBorders>
            <w:shd w:fill="ede4f2" w:val="clear"/>
            <w:tcMar>
              <w:top w:type="dxa" w:w="80"/>
              <w:left w:type="dxa" w:w="120"/>
              <w:bottom w:type="dxa" w:w="60"/>
              <w:right w:type="dxa" w:w="120"/>
            </w:tcMar>
          </w:tcPr>
          <w:p>
            <w:r>
              <w:rPr>
                <w:rFonts w:ascii="Arial" w:cs="Arial" w:hAnsi="Arial"/>
                <w:b/>
                <w:bCs/>
                <w:color w:val="7a5080"/>
                <w:sz w:val="20"/>
                <w:szCs w:val="20"/>
              </w:rPr>
              <w:t xml:space="preserve">University AI Research Labs (15 sources — top U.S. programs)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8</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Berkeley AI Research (BAIR)</w:t>
            </w:r>
          </w:p>
          <w:p>
            <w:r>
              <w:rPr>
                <w:rFonts w:ascii="Arial" w:cs="Arial" w:hAnsi="Arial"/>
                <w:color w:val="7a5080"/>
                <w:sz w:val="16"/>
                <w:szCs w:val="16"/>
              </w:rPr>
              <w:t xml:space="preserve">https://bair.berkeley.edu/blog/feed.xml</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One of the most active and accessible AI research blogs; covers ML, robotics, and NLP</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9</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MIT CSAIL</w:t>
            </w:r>
          </w:p>
          <w:p>
            <w:r>
              <w:rPr>
                <w:rFonts w:ascii="Arial" w:cs="Arial" w:hAnsi="Arial"/>
                <w:color w:val="7a5080"/>
                <w:sz w:val="16"/>
                <w:szCs w:val="16"/>
              </w:rPr>
              <w:t xml:space="preserve">https://www.csail.mit.edu/rss/news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MIT’s Computer Science &amp; AI Laboratory — foundational research with education applications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10</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Stanford AI Lab</w:t>
            </w:r>
          </w:p>
          <w:p>
            <w:r>
              <w:rPr>
                <w:rFonts w:ascii="Arial" w:cs="Arial" w:hAnsi="Arial"/>
                <w:color w:val="7a5080"/>
                <w:sz w:val="16"/>
                <w:szCs w:val="16"/>
              </w:rPr>
              <w:t xml:space="preserve">https://ai.stanford.edu/blog/feed.xml</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Stanford’s core AI research group; NLP, vision, robotics, and learning technology</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11</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Stanford HAI</w:t>
            </w:r>
          </w:p>
          <w:p>
            <w:r>
              <w:rPr>
                <w:rFonts w:ascii="Arial" w:cs="Arial" w:hAnsi="Arial"/>
                <w:color w:val="7a5080"/>
                <w:sz w:val="16"/>
                <w:szCs w:val="16"/>
              </w:rPr>
              <w:t xml:space="preserve">https://hai.stanford.edu/news/feed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Human-centered AI — policy, ethics, workforce impact, and education research</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12</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Carnegie Mellon AI / CS</w:t>
            </w:r>
          </w:p>
          <w:p>
            <w:r>
              <w:rPr>
                <w:rFonts w:ascii="Arial" w:cs="Arial" w:hAnsi="Arial"/>
                <w:color w:val="7a5080"/>
                <w:sz w:val="16"/>
                <w:szCs w:val="16"/>
              </w:rPr>
              <w:t xml:space="preserve">https://www.cs.cmu.edu/news/rss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Top-3 AI program; strong in HCI, learning technologies, and AI systems</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13</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Georgia Tech CS &amp; AI</w:t>
            </w:r>
          </w:p>
          <w:p>
            <w:r>
              <w:rPr>
                <w:rFonts w:ascii="Arial" w:cs="Arial" w:hAnsi="Arial"/>
                <w:color w:val="7a5080"/>
                <w:sz w:val="16"/>
                <w:szCs w:val="16"/>
              </w:rPr>
              <w:t xml:space="preserve">https://www.cc.gatech.edu/news/rss.xml</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Created Jill Watson (AI teaching assistant); leader in AI for education</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14</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Allen Institute for AI (AI2)</w:t>
            </w:r>
          </w:p>
          <w:p>
            <w:r>
              <w:rPr>
                <w:rFonts w:ascii="Arial" w:cs="Arial" w:hAnsi="Arial"/>
                <w:color w:val="7a5080"/>
                <w:sz w:val="16"/>
                <w:szCs w:val="16"/>
              </w:rPr>
              <w:t xml:space="preserve">https://blog.allenai.org/feed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Nonprofit AI research focused on NLP, scientific understanding, and AI for the common good</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15</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CU Boulder CS</w:t>
            </w:r>
          </w:p>
          <w:p>
            <w:r>
              <w:rPr>
                <w:rFonts w:ascii="Arial" w:cs="Arial" w:hAnsi="Arial"/>
                <w:color w:val="7a5080"/>
                <w:sz w:val="16"/>
                <w:szCs w:val="16"/>
              </w:rPr>
              <w:t xml:space="preserve">https://www.colorado.edu/cs/rss.xml</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Emerging AI and computing research; strong STEM education connections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16</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U Michigan — MIDAS</w:t>
            </w:r>
          </w:p>
          <w:p>
            <w:r>
              <w:rPr>
                <w:rFonts w:ascii="Arial" w:cs="Arial" w:hAnsi="Arial"/>
                <w:color w:val="7a5080"/>
                <w:sz w:val="16"/>
                <w:szCs w:val="16"/>
              </w:rPr>
              <w:t xml:space="preserve">https://midas.umich.edu/feed/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Michigan Institute for Data and AI in Society — equity, social impact, and responsible AI</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17</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UW Allen School of CS</w:t>
            </w:r>
          </w:p>
          <w:p>
            <w:r>
              <w:rPr>
                <w:rFonts w:ascii="Arial" w:cs="Arial" w:hAnsi="Arial"/>
                <w:color w:val="7a5080"/>
                <w:sz w:val="16"/>
                <w:szCs w:val="16"/>
              </w:rPr>
              <w:t xml:space="preserve">https://www.cs.washington.edu/news/rss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of Washington’s Paul G. Allen School — top-5 AI/ML research program</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18</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Cornell AI</w:t>
            </w:r>
          </w:p>
          <w:p>
            <w:r>
              <w:rPr>
                <w:rFonts w:ascii="Arial" w:cs="Arial" w:hAnsi="Arial"/>
                <w:color w:val="7a5080"/>
                <w:sz w:val="16"/>
                <w:szCs w:val="16"/>
              </w:rPr>
              <w:t xml:space="preserve">https://ai.cornell.edu/feed/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Cornell AI Lab covers NLP, computer vision, robotics, and AI fairness research</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19</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UIUC CS &amp; AI</w:t>
            </w:r>
          </w:p>
          <w:p>
            <w:r>
              <w:rPr>
                <w:rFonts w:ascii="Arial" w:cs="Arial" w:hAnsi="Arial"/>
                <w:color w:val="7a5080"/>
                <w:sz w:val="16"/>
                <w:szCs w:val="16"/>
              </w:rPr>
              <w:t xml:space="preserve">https://cs.illinois.edu/news/rss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of Illinois — top AI program; strong on systems, NLP, and human-computer interaction</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20</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Princeton AI / ML</w:t>
            </w:r>
          </w:p>
          <w:p>
            <w:r>
              <w:rPr>
                <w:rFonts w:ascii="Arial" w:cs="Arial" w:hAnsi="Arial"/>
                <w:color w:val="7a5080"/>
                <w:sz w:val="16"/>
                <w:szCs w:val="16"/>
              </w:rPr>
              <w:t xml:space="preserve">https://aiml.princeton.edu/news/feed/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Princeton AI/ML Group; strong on ethical AI, theory, and language models</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21</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UCLA CS &amp; AI</w:t>
            </w:r>
          </w:p>
          <w:p>
            <w:r>
              <w:rPr>
                <w:rFonts w:ascii="Arial" w:cs="Arial" w:hAnsi="Arial"/>
                <w:color w:val="7a5080"/>
                <w:sz w:val="16"/>
                <w:szCs w:val="16"/>
              </w:rPr>
              <w:t xml:space="preserve">https://www.cs.ucla.edu/category/news/feed/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UCLA’s CS department covers AI reasoning, vision, and cognitive systems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22</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MIT News — AI</w:t>
            </w:r>
          </w:p>
          <w:p>
            <w:r>
              <w:rPr>
                <w:rFonts w:ascii="Arial" w:cs="Arial" w:hAnsi="Arial"/>
                <w:color w:val="7a5080"/>
                <w:sz w:val="16"/>
                <w:szCs w:val="16"/>
              </w:rPr>
              <w:t xml:space="preserve">https://news.mit.edu/rss/topic/artificial-intelligence2</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University AI Lab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MIT’s institutional AI coverage — bridges lab research and broader societal impact</w:t>
            </w:r>
          </w:p>
        </w:tc>
      </w:tr>
      <w:tr>
        <w:tc>
          <w:tcPr>
            <w:tcW w:type="dxa" w:w="9360"/>
            <w:gridSpan w:val="4"/>
            <w:tcBorders>
              <w:top w:val="single" w:color="7a5080" w:sz="6"/>
              <w:bottom w:val="single" w:color="7a5080" w:sz="1"/>
            </w:tcBorders>
            <w:shd w:fill="ede4f2" w:val="clear"/>
            <w:tcMar>
              <w:top w:type="dxa" w:w="80"/>
              <w:left w:type="dxa" w:w="120"/>
              <w:bottom w:type="dxa" w:w="60"/>
              <w:right w:type="dxa" w:w="120"/>
            </w:tcMar>
          </w:tcPr>
          <w:p>
            <w:r>
              <w:rPr>
                <w:rFonts w:ascii="Arial" w:cs="Arial" w:hAnsi="Arial"/>
                <w:b/>
                <w:bCs/>
                <w:color w:val="7a5080"/>
                <w:sz w:val="20"/>
                <w:szCs w:val="20"/>
              </w:rPr>
              <w:t xml:space="preserve">Higher Ed &amp; EdTech (7 sources)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23</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Inside Higher Ed</w:t>
            </w:r>
          </w:p>
          <w:p>
            <w:r>
              <w:rPr>
                <w:rFonts w:ascii="Arial" w:cs="Arial" w:hAnsi="Arial"/>
                <w:color w:val="7a5080"/>
                <w:sz w:val="16"/>
                <w:szCs w:val="16"/>
              </w:rPr>
              <w:t xml:space="preserve">https://www.insidehighered.com/rss.xml</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Daily higher ed news; required reading for anyone in academia or ed-tech</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24</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EdSurge</w:t>
            </w:r>
          </w:p>
          <w:p>
            <w:r>
              <w:rPr>
                <w:rFonts w:ascii="Arial" w:cs="Arial" w:hAnsi="Arial"/>
                <w:color w:val="7a5080"/>
                <w:sz w:val="16"/>
                <w:szCs w:val="16"/>
              </w:rPr>
              <w:t xml:space="preserve">https://www.edsurge.com/articles_rss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The trades publication for ed-tech; essential vocabulary for AI in education</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25</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Higher Ed Dive</w:t>
            </w:r>
          </w:p>
          <w:p>
            <w:r>
              <w:rPr>
                <w:rFonts w:ascii="Arial" w:cs="Arial" w:hAnsi="Arial"/>
                <w:color w:val="7a5080"/>
                <w:sz w:val="16"/>
                <w:szCs w:val="16"/>
              </w:rPr>
              <w:t xml:space="preserve">https://highereddive.com/feeds/news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Concise institutional and policy coverage; strong on enrollment, finance, and technology</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26</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Campus Technology</w:t>
            </w:r>
          </w:p>
          <w:p>
            <w:r>
              <w:rPr>
                <w:rFonts w:ascii="Arial" w:cs="Arial" w:hAnsi="Arial"/>
                <w:color w:val="7a5080"/>
                <w:sz w:val="16"/>
                <w:szCs w:val="16"/>
              </w:rPr>
              <w:t xml:space="preserve">https://campustechnology.com/rss-feeds/rss.ashx</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IT and technology deployment in higher ed; covers LMS, AI tools, and infrastructure</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27</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Education Next</w:t>
            </w:r>
          </w:p>
          <w:p>
            <w:r>
              <w:rPr>
                <w:rFonts w:ascii="Arial" w:cs="Arial" w:hAnsi="Arial"/>
                <w:color w:val="7a5080"/>
                <w:sz w:val="16"/>
                <w:szCs w:val="16"/>
              </w:rPr>
              <w:t xml:space="preserve">https://www.educationnext.org/feed/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Research-backed education policy analysis; bridges K-12 and higher ed perspectives</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28</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EDUCAUSE Review</w:t>
            </w:r>
          </w:p>
          <w:p>
            <w:r>
              <w:rPr>
                <w:rFonts w:ascii="Arial" w:cs="Arial" w:hAnsi="Arial"/>
                <w:color w:val="7a5080"/>
                <w:sz w:val="16"/>
                <w:szCs w:val="16"/>
              </w:rPr>
              <w:t xml:space="preserve">https://er.educause.edu/rss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Flagship journal of the higher ed technology association; peer-reviewed practitioner writing</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29</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MIT News — Education</w:t>
            </w:r>
          </w:p>
          <w:p>
            <w:r>
              <w:rPr>
                <w:rFonts w:ascii="Arial" w:cs="Arial" w:hAnsi="Arial"/>
                <w:color w:val="7a5080"/>
                <w:sz w:val="16"/>
                <w:szCs w:val="16"/>
              </w:rPr>
              <w:t xml:space="preserve">https://news.mit.edu/rss/topic/education</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MIT’s coverage of education research, learning science, and teaching innovation</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30</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NYT Education</w:t>
            </w:r>
          </w:p>
          <w:p>
            <w:r>
              <w:rPr>
                <w:rFonts w:ascii="Arial" w:cs="Arial" w:hAnsi="Arial"/>
                <w:color w:val="7a5080"/>
                <w:sz w:val="16"/>
                <w:szCs w:val="16"/>
              </w:rPr>
              <w:t xml:space="preserve">https://rss.nytimes.com/services/xml/rss/nyt/Education.xml</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National education coverage from the paper of record</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31</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The Atlantic — Education</w:t>
            </w:r>
          </w:p>
          <w:p>
            <w:r>
              <w:rPr>
                <w:rFonts w:ascii="Arial" w:cs="Arial" w:hAnsi="Arial"/>
                <w:color w:val="7a5080"/>
                <w:sz w:val="16"/>
                <w:szCs w:val="16"/>
              </w:rPr>
              <w:t xml:space="preserve">https://www.theatlantic.com/feed/channel/education/</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Long-form education journalism; equity, access, and the future of college</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32</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Chronicle of Higher Ed</w:t>
            </w:r>
          </w:p>
          <w:p>
            <w:r>
              <w:rPr>
                <w:rFonts w:ascii="Arial" w:cs="Arial" w:hAnsi="Arial"/>
                <w:color w:val="7a5080"/>
                <w:sz w:val="16"/>
                <w:szCs w:val="16"/>
              </w:rPr>
              <w:t xml:space="preserve">https://www.chronicle.com/rss/articles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The newspaper of record for higher education — faculty, administration, and policy</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33</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The Guardian — Education</w:t>
            </w:r>
          </w:p>
          <w:p>
            <w:r>
              <w:rPr>
                <w:rFonts w:ascii="Arial" w:cs="Arial" w:hAnsi="Arial"/>
                <w:color w:val="7a5080"/>
                <w:sz w:val="16"/>
                <w:szCs w:val="16"/>
              </w:rPr>
              <w:t xml:space="preserve">https://www.theguardian.com/education/rss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Higher Ed &amp; EdTech</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International higher ed perspective; global AI and equity coverage</w:t>
            </w:r>
          </w:p>
        </w:tc>
      </w:tr>
      <w:tr>
        <w:tc>
          <w:tcPr>
            <w:tcW w:type="dxa" w:w="9360"/>
            <w:gridSpan w:val="4"/>
            <w:tcBorders>
              <w:top w:val="single" w:color="7a5080" w:sz="6"/>
              <w:bottom w:val="single" w:color="7a5080" w:sz="1"/>
            </w:tcBorders>
            <w:shd w:fill="ede4f2" w:val="clear"/>
            <w:tcMar>
              <w:top w:type="dxa" w:w="80"/>
              <w:left w:type="dxa" w:w="120"/>
              <w:bottom w:type="dxa" w:w="60"/>
              <w:right w:type="dxa" w:w="120"/>
            </w:tcMar>
          </w:tcPr>
          <w:p>
            <w:r>
              <w:rPr>
                <w:rFonts w:ascii="Arial" w:cs="Arial" w:hAnsi="Arial"/>
                <w:b/>
                <w:bCs/>
                <w:color w:val="7a5080"/>
                <w:sz w:val="20"/>
                <w:szCs w:val="20"/>
              </w:rPr>
              <w:t xml:space="preserve">Student Success &amp; Equity (5 sources)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34</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Hechinger Report</w:t>
            </w:r>
          </w:p>
          <w:p>
            <w:r>
              <w:rPr>
                <w:rFonts w:ascii="Arial" w:cs="Arial" w:hAnsi="Arial"/>
                <w:color w:val="7a5080"/>
                <w:sz w:val="16"/>
                <w:szCs w:val="16"/>
              </w:rPr>
              <w:t xml:space="preserve">https://hechingerreport.org/feed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Student Success</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Nonprofit investigative journalism focused on equity and student outcomes; data-driven</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35</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Edutopia</w:t>
            </w:r>
          </w:p>
          <w:p>
            <w:r>
              <w:rPr>
                <w:rFonts w:ascii="Arial" w:cs="Arial" w:hAnsi="Arial"/>
                <w:color w:val="7a5080"/>
                <w:sz w:val="16"/>
                <w:szCs w:val="16"/>
              </w:rPr>
              <w:t xml:space="preserve">https://www.edutopia.org/feeds/latest</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Student Success</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Practitioner-focused teaching strategies; project-based learning and student support</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36</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EdTrust</w:t>
            </w:r>
          </w:p>
          <w:p>
            <w:r>
              <w:rPr>
                <w:rFonts w:ascii="Arial" w:cs="Arial" w:hAnsi="Arial"/>
                <w:color w:val="7a5080"/>
                <w:sz w:val="16"/>
                <w:szCs w:val="16"/>
              </w:rPr>
              <w:t xml:space="preserve">https://edtrust.org/feed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Student Success</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Research and advocacy on equity gaps in access, persistence, and completion</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37</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Diverse: Issues in Higher Ed</w:t>
            </w:r>
          </w:p>
          <w:p>
            <w:r>
              <w:rPr>
                <w:rFonts w:ascii="Arial" w:cs="Arial" w:hAnsi="Arial"/>
                <w:color w:val="7a5080"/>
                <w:sz w:val="16"/>
                <w:szCs w:val="16"/>
              </w:rPr>
              <w:t xml:space="preserve">https://www.diverseeducation.com/feed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Student Success</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Diversity, equity, and inclusion in higher education; first-gen and BIPOC student success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38</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ADDitude Magazine</w:t>
            </w:r>
          </w:p>
          <w:p>
            <w:r>
              <w:rPr>
                <w:rFonts w:ascii="Arial" w:cs="Arial" w:hAnsi="Arial"/>
                <w:color w:val="7a5080"/>
                <w:sz w:val="16"/>
                <w:szCs w:val="16"/>
              </w:rPr>
              <w:t xml:space="preserve">https://www.additudemag.com/feed/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Student Success</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Evidence-based ADHD and learning differences coverage — directly relevant to GCC’s student population</w:t>
            </w:r>
          </w:p>
        </w:tc>
      </w:tr>
      <w:tr>
        <w:tc>
          <w:tcPr>
            <w:tcW w:type="dxa" w:w="9360"/>
            <w:gridSpan w:val="4"/>
            <w:tcBorders>
              <w:top w:val="single" w:color="7a5080" w:sz="6"/>
              <w:bottom w:val="single" w:color="7a5080" w:sz="1"/>
            </w:tcBorders>
            <w:shd w:fill="ede4f2" w:val="clear"/>
            <w:tcMar>
              <w:top w:type="dxa" w:w="80"/>
              <w:left w:type="dxa" w:w="120"/>
              <w:bottom w:type="dxa" w:w="60"/>
              <w:right w:type="dxa" w:w="120"/>
            </w:tcMar>
          </w:tcPr>
          <w:p>
            <w:r>
              <w:rPr>
                <w:rFonts w:ascii="Arial" w:cs="Arial" w:hAnsi="Arial"/>
                <w:b/>
                <w:bCs/>
                <w:color w:val="7a5080"/>
                <w:sz w:val="20"/>
                <w:szCs w:val="20"/>
              </w:rPr>
              <w:t xml:space="preserve">UX &amp; Design (9 sources)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39</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Nielsen Norman Group</w:t>
            </w:r>
          </w:p>
          <w:p>
            <w:r>
              <w:rPr>
                <w:rFonts w:ascii="Arial" w:cs="Arial" w:hAnsi="Arial"/>
                <w:color w:val="7a5080"/>
                <w:sz w:val="16"/>
                <w:szCs w:val="16"/>
              </w:rPr>
              <w:t xml:space="preserve">https://www.nngroup.com/feed/rss/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The authoritative source for UX research; every article is research-backed and practitioner-applicable</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40</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A List Apart</w:t>
            </w:r>
          </w:p>
          <w:p>
            <w:r>
              <w:rPr>
                <w:rFonts w:ascii="Arial" w:cs="Arial" w:hAnsi="Arial"/>
                <w:color w:val="7a5080"/>
                <w:sz w:val="16"/>
                <w:szCs w:val="16"/>
              </w:rPr>
              <w:t xml:space="preserve">https://alistapart.com/main/feed/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Long-running web design and UX publication; strong on content strategy and design systems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41</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Smashing Magazine</w:t>
            </w:r>
          </w:p>
          <w:p>
            <w:r>
              <w:rPr>
                <w:rFonts w:ascii="Arial" w:cs="Arial" w:hAnsi="Arial"/>
                <w:color w:val="7a5080"/>
                <w:sz w:val="16"/>
                <w:szCs w:val="16"/>
              </w:rPr>
              <w:t xml:space="preserve">https://www.smashingmagazine.com/feed/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Practical UX and front-end coverage; accessibility, design patterns, and tool walkthroughs</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42</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AIGA Eye on Design</w:t>
            </w:r>
          </w:p>
          <w:p>
            <w:r>
              <w:rPr>
                <w:rFonts w:ascii="Arial" w:cs="Arial" w:hAnsi="Arial"/>
                <w:color w:val="7a5080"/>
                <w:sz w:val="16"/>
                <w:szCs w:val="16"/>
              </w:rPr>
              <w:t xml:space="preserve">https://eyeondesign.aiga.org/feed/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AIGA editorial publication on graphic design, typography, and visual culture — core to DMA faculty</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43</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CSS-Tricks</w:t>
            </w:r>
          </w:p>
          <w:p>
            <w:r>
              <w:rPr>
                <w:rFonts w:ascii="Arial" w:cs="Arial" w:hAnsi="Arial"/>
                <w:color w:val="7a5080"/>
                <w:sz w:val="16"/>
                <w:szCs w:val="16"/>
              </w:rPr>
              <w:t xml:space="preserve">https://css-tricks.com/feed/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Front-end development and interface design; bridges design and implementation thinking</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44</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UX Collective</w:t>
            </w:r>
          </w:p>
          <w:p>
            <w:r>
              <w:rPr>
                <w:rFonts w:ascii="Arial" w:cs="Arial" w:hAnsi="Arial"/>
                <w:color w:val="7a5080"/>
                <w:sz w:val="16"/>
                <w:szCs w:val="16"/>
              </w:rPr>
              <w:t xml:space="preserve">https://uxdesign.cc/feed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Practitioner-written case studies; one of the highest-volume UX publications on the web</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45</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Creative Bloq</w:t>
            </w:r>
          </w:p>
          <w:p>
            <w:r>
              <w:rPr>
                <w:rFonts w:ascii="Arial" w:cs="Arial" w:hAnsi="Arial"/>
                <w:color w:val="7a5080"/>
                <w:sz w:val="16"/>
                <w:szCs w:val="16"/>
              </w:rPr>
              <w:t xml:space="preserve">https://www.creativebloq.com/feeds/all</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Design inspiration, tools, and creative industry trends; useful for Digital Media Arts curriculum</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46</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UX Magazine</w:t>
            </w:r>
          </w:p>
          <w:p>
            <w:r>
              <w:rPr>
                <w:rFonts w:ascii="Arial" w:cs="Arial" w:hAnsi="Arial"/>
                <w:color w:val="7a5080"/>
                <w:sz w:val="16"/>
                <w:szCs w:val="16"/>
              </w:rPr>
              <w:t xml:space="preserve">https://uxmag.com/feed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Industry magazine for UX and product design professionals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47</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InVision Inside Design</w:t>
            </w:r>
          </w:p>
          <w:p>
            <w:r>
              <w:rPr>
                <w:rFonts w:ascii="Arial" w:cs="Arial" w:hAnsi="Arial"/>
                <w:color w:val="7a5080"/>
                <w:sz w:val="16"/>
                <w:szCs w:val="16"/>
              </w:rPr>
              <w:t xml:space="preserve">https://www.invisionapp.com/inside-design/feed/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UX &amp; Design</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Design process, collaboration, and product thinking from a major prototyping platform</w:t>
            </w:r>
          </w:p>
        </w:tc>
      </w:tr>
      <w:tr>
        <w:tc>
          <w:tcPr>
            <w:tcW w:type="dxa" w:w="9360"/>
            <w:gridSpan w:val="4"/>
            <w:tcBorders>
              <w:top w:val="single" w:color="7a5080" w:sz="6"/>
              <w:bottom w:val="single" w:color="7a5080" w:sz="1"/>
            </w:tcBorders>
            <w:shd w:fill="ede4f2" w:val="clear"/>
            <w:tcMar>
              <w:top w:type="dxa" w:w="80"/>
              <w:left w:type="dxa" w:w="120"/>
              <w:bottom w:type="dxa" w:w="60"/>
              <w:right w:type="dxa" w:w="120"/>
            </w:tcMar>
          </w:tcPr>
          <w:p>
            <w:r>
              <w:rPr>
                <w:rFonts w:ascii="Arial" w:cs="Arial" w:hAnsi="Arial"/>
                <w:b/>
                <w:bCs/>
                <w:color w:val="7a5080"/>
                <w:sz w:val="20"/>
                <w:szCs w:val="20"/>
              </w:rPr>
              <w:t xml:space="preserve">PM / Scrum (6 sources)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48</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Mind the Product</w:t>
            </w:r>
          </w:p>
          <w:p>
            <w:r>
              <w:rPr>
                <w:rFonts w:ascii="Arial" w:cs="Arial" w:hAnsi="Arial"/>
                <w:color w:val="7a5080"/>
                <w:sz w:val="16"/>
                <w:szCs w:val="16"/>
              </w:rPr>
              <w:t xml:space="preserve">https://www.mindtheproduct.com/feed/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PM / Scrum</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Largest global product management community; articles, events, and career guidance</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49</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Lenny’s Newsletter</w:t>
            </w:r>
          </w:p>
          <w:p>
            <w:r>
              <w:rPr>
                <w:rFonts w:ascii="Arial" w:cs="Arial" w:hAnsi="Arial"/>
                <w:color w:val="7a5080"/>
                <w:sz w:val="16"/>
                <w:szCs w:val="16"/>
              </w:rPr>
              <w:t xml:space="preserve">https://www.lennysnewsletter.com/feed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PM / Scrum</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Most-read PM newsletter; deep dives on roadmapping, user research, and PM career development</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50</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SVPG / Marty Cagan</w:t>
            </w:r>
          </w:p>
          <w:p>
            <w:r>
              <w:rPr>
                <w:rFonts w:ascii="Arial" w:cs="Arial" w:hAnsi="Arial"/>
                <w:color w:val="7a5080"/>
                <w:sz w:val="16"/>
                <w:szCs w:val="16"/>
              </w:rPr>
              <w:t xml:space="preserve">https://svpg.com/feed/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PM / Scrum</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Silicon Valley Product Group — foundational product thinking from the industry’s leading voice</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51</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Harvard Business Review</w:t>
            </w:r>
          </w:p>
          <w:p>
            <w:r>
              <w:rPr>
                <w:rFonts w:ascii="Arial" w:cs="Arial" w:hAnsi="Arial"/>
                <w:color w:val="7a5080"/>
                <w:sz w:val="16"/>
                <w:szCs w:val="16"/>
              </w:rPr>
              <w:t xml:space="preserve">https://hbr.org/stories.rss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PM / Scrum</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Strategy, leadership, and management research; strong on innovation and organizational change</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52</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Product Talk</w:t>
            </w:r>
          </w:p>
          <w:p>
            <w:r>
              <w:rPr>
                <w:rFonts w:ascii="Arial" w:cs="Arial" w:hAnsi="Arial"/>
                <w:color w:val="7a5080"/>
                <w:sz w:val="16"/>
                <w:szCs w:val="16"/>
              </w:rPr>
              <w:t xml:space="preserve">https://www.producttalk.org/feed/</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PM / Scrum</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Teresa Torres’s continuous discovery framework; JTBD, user research, and outcome-based roadmapping</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53</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Product Coalition</w:t>
            </w:r>
          </w:p>
          <w:p>
            <w:r>
              <w:rPr>
                <w:rFonts w:ascii="Arial" w:cs="Arial" w:hAnsi="Arial"/>
                <w:color w:val="7a5080"/>
                <w:sz w:val="16"/>
                <w:szCs w:val="16"/>
              </w:rPr>
              <w:t xml:space="preserve">https://productcoalition.com/feed</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PM / Scrum</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Community-written PM publication covering tools, frameworks, and career development</w:t>
            </w:r>
          </w:p>
        </w:tc>
      </w:tr>
      <w:tr>
        <w:tc>
          <w:tcPr>
            <w:tcW w:type="dxa" w:w="9360"/>
            <w:gridSpan w:val="4"/>
            <w:tcBorders>
              <w:top w:val="single" w:color="7a5080" w:sz="6"/>
              <w:bottom w:val="single" w:color="7a5080" w:sz="1"/>
            </w:tcBorders>
            <w:shd w:fill="ede4f2" w:val="clear"/>
            <w:tcMar>
              <w:top w:type="dxa" w:w="80"/>
              <w:left w:type="dxa" w:w="120"/>
              <w:bottom w:type="dxa" w:w="60"/>
              <w:right w:type="dxa" w:w="120"/>
            </w:tcMar>
          </w:tcPr>
          <w:p>
            <w:r>
              <w:rPr>
                <w:rFonts w:ascii="Arial" w:cs="Arial" w:hAnsi="Arial"/>
                <w:b/>
                <w:bCs/>
                <w:color w:val="7a5080"/>
                <w:sz w:val="20"/>
                <w:szCs w:val="20"/>
              </w:rPr>
              <w:t xml:space="preserve">Cross-tab Broad Publications (9 sources)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54</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NYT Technology</w:t>
            </w:r>
          </w:p>
          <w:p>
            <w:r>
              <w:rPr>
                <w:rFonts w:ascii="Arial" w:cs="Arial" w:hAnsi="Arial"/>
                <w:color w:val="7a5080"/>
                <w:sz w:val="16"/>
                <w:szCs w:val="16"/>
              </w:rPr>
              <w:t xml:space="preserve">https://rss.nytimes.com/services/xml/rss/nyt/Technology.xml</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Broad tech coverage from the paper of record; AI, policy, and industry impact</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55</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NYT Science</w:t>
            </w:r>
          </w:p>
          <w:p>
            <w:r>
              <w:rPr>
                <w:rFonts w:ascii="Arial" w:cs="Arial" w:hAnsi="Arial"/>
                <w:color w:val="7a5080"/>
                <w:sz w:val="16"/>
                <w:szCs w:val="16"/>
              </w:rPr>
              <w:t xml:space="preserve">https://rss.nytimes.com/services/xml/rss/nyt/Science.xml</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Science journalism with increasing AI and research coverage</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56</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NYT Business</w:t>
            </w:r>
          </w:p>
          <w:p>
            <w:r>
              <w:rPr>
                <w:rFonts w:ascii="Arial" w:cs="Arial" w:hAnsi="Arial"/>
                <w:color w:val="7a5080"/>
                <w:sz w:val="16"/>
                <w:szCs w:val="16"/>
              </w:rPr>
              <w:t xml:space="preserve">https://rss.nytimes.com/services/xml/rss/nyt/Business.xml</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Business strategy, labor, and tech economy — relevant to PM and institutional leadership</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57</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The Atlantic — Technology</w:t>
            </w:r>
          </w:p>
          <w:p>
            <w:r>
              <w:rPr>
                <w:rFonts w:ascii="Arial" w:cs="Arial" w:hAnsi="Arial"/>
                <w:color w:val="7a5080"/>
                <w:sz w:val="16"/>
                <w:szCs w:val="16"/>
              </w:rPr>
              <w:t xml:space="preserve">https://www.theatlantic.com/feed/channel/technology/</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Long-form technology journalism with strong AI ethics and societal impact angles</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58</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The Atlantic — Ideas</w:t>
            </w:r>
          </w:p>
          <w:p>
            <w:r>
              <w:rPr>
                <w:rFonts w:ascii="Arial" w:cs="Arial" w:hAnsi="Arial"/>
                <w:color w:val="7a5080"/>
                <w:sz w:val="16"/>
                <w:szCs w:val="16"/>
              </w:rPr>
              <w:t xml:space="preserve">https://www.theatlantic.com/feed/channel/ideas/</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Ideas and culture coverage that intersects with education and technology policy</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59</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Fast Company — Tech</w:t>
            </w:r>
          </w:p>
          <w:p>
            <w:r>
              <w:rPr>
                <w:rFonts w:ascii="Arial" w:cs="Arial" w:hAnsi="Arial"/>
                <w:color w:val="7a5080"/>
                <w:sz w:val="16"/>
                <w:szCs w:val="16"/>
              </w:rPr>
              <w:t xml:space="preserve">https://www.fastcompany.com/technology/rss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Innovation, design, and business technology from a practitioner-facing publication</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60</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NPR — Education</w:t>
            </w:r>
          </w:p>
          <w:p>
            <w:r>
              <w:rPr>
                <w:rFonts w:ascii="Arial" w:cs="Arial" w:hAnsi="Arial"/>
                <w:color w:val="7a5080"/>
                <w:sz w:val="16"/>
                <w:szCs w:val="16"/>
              </w:rPr>
              <w:t xml:space="preserve">https://feeds.npr.org/1017/rss.xml</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Public radio education coverage; accessible, equity-focused reporting with broad appeal</w:t>
            </w:r>
          </w:p>
        </w:tc>
      </w:tr>
      <w:tr>
        <w:tc>
          <w:tcPr>
            <w:tcW w:type="dxa" w:w="36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8a7e7a"/>
                <w:sz w:val="18"/>
                <w:szCs w:val="18"/>
              </w:rPr>
              <w:t xml:space="preserve">61</w:t>
            </w:r>
          </w:p>
        </w:tc>
        <w:tc>
          <w:tcPr>
            <w:tcW w:type="dxa" w:w="30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b/>
                <w:bCs/>
                <w:color w:val="3a2e3f"/>
                <w:sz w:val="18"/>
                <w:szCs w:val="18"/>
              </w:rPr>
              <w:t xml:space="preserve">Scientific American</w:t>
            </w:r>
          </w:p>
          <w:p>
            <w:r>
              <w:rPr>
                <w:rFonts w:ascii="Arial" w:cs="Arial" w:hAnsi="Arial"/>
                <w:color w:val="7a5080"/>
                <w:sz w:val="16"/>
                <w:szCs w:val="16"/>
              </w:rPr>
              <w:t xml:space="preserve">https://www.scientificamerican.com/feed/rss/</w:t>
            </w:r>
          </w:p>
        </w:tc>
        <w:tc>
          <w:tcPr>
            <w:tcW w:type="dxa" w:w="16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af7f2" w:val="clear"/>
            <w:tcMar>
              <w:top w:type="dxa" w:w="60"/>
              <w:left w:type="dxa" w:w="120"/>
              <w:bottom w:type="dxa" w:w="60"/>
              <w:right w:type="dxa" w:w="120"/>
            </w:tcMar>
          </w:tcPr>
          <w:p>
            <w:r>
              <w:rPr>
                <w:rFonts w:ascii="Arial" w:cs="Arial" w:hAnsi="Arial"/>
                <w:color w:val="3a2e3f"/>
                <w:sz w:val="18"/>
                <w:szCs w:val="18"/>
              </w:rPr>
              <w:t xml:space="preserve">Authoritative science journalism covering AI, cognition, and learning research</w:t>
            </w:r>
          </w:p>
        </w:tc>
      </w:tr>
      <w:tr>
        <w:tc>
          <w:tcPr>
            <w:tcW w:type="dxa" w:w="36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8a7e7a"/>
                <w:sz w:val="18"/>
                <w:szCs w:val="18"/>
              </w:rPr>
              <w:t xml:space="preserve">62</w:t>
            </w:r>
          </w:p>
        </w:tc>
        <w:tc>
          <w:tcPr>
            <w:tcW w:type="dxa" w:w="30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b/>
                <w:bCs/>
                <w:color w:val="3a2e3f"/>
                <w:sz w:val="18"/>
                <w:szCs w:val="18"/>
              </w:rPr>
              <w:t xml:space="preserve">Ars Technica</w:t>
            </w:r>
          </w:p>
          <w:p>
            <w:r>
              <w:rPr>
                <w:rFonts w:ascii="Arial" w:cs="Arial" w:hAnsi="Arial"/>
                <w:color w:val="7a5080"/>
                <w:sz w:val="16"/>
                <w:szCs w:val="16"/>
              </w:rPr>
              <w:t xml:space="preserve">https://feeds.arstechnica.com/arstechnica/technology-lab</w:t>
            </w:r>
          </w:p>
        </w:tc>
        <w:tc>
          <w:tcPr>
            <w:tcW w:type="dxa" w:w="16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Cross-tab</w:t>
            </w:r>
          </w:p>
        </w:tc>
        <w:tc>
          <w:tcPr>
            <w:tcW w:type="dxa" w:w="4400"/>
            <w:tcBorders>
              <w:top w:val="single" w:color="ddd3c8" w:sz="1"/>
              <w:left w:val="single" w:color="ddd3c8" w:sz="1"/>
              <w:bottom w:val="single" w:color="ddd3c8" w:sz="1"/>
              <w:right w:val="single" w:color="ddd3c8" w:sz="1"/>
            </w:tcBorders>
            <w:shd w:fill="FFFFFF" w:val="clear"/>
            <w:tcMar>
              <w:top w:type="dxa" w:w="60"/>
              <w:left w:type="dxa" w:w="120"/>
              <w:bottom w:type="dxa" w:w="60"/>
              <w:right w:type="dxa" w:w="120"/>
            </w:tcMar>
          </w:tcPr>
          <w:p>
            <w:r>
              <w:rPr>
                <w:rFonts w:ascii="Arial" w:cs="Arial" w:hAnsi="Arial"/>
                <w:color w:val="3a2e3f"/>
                <w:sz w:val="18"/>
                <w:szCs w:val="18"/>
              </w:rPr>
              <w:t xml:space="preserve">Deep technical journalism; AI infrastructure, research papers, and emerging technology</w:t>
            </w:r>
          </w:p>
        </w:tc>
      </w:tr>
    </w:tbl>
    <w:p>
      <w:pPr>
        <w:spacing w:before="160" w:after="0"/>
      </w:pPr>
      <w:r>
        <w:rPr>
          <w:rFonts w:ascii="Arial" w:cs="Arial" w:hAnsi="Arial"/>
          <w:color w:val="8a7e7a"/>
          <w:sz w:val="16"/>
          <w:szCs w:val="16"/>
          <w:i/>
          <w:iCs/>
        </w:rPr>
        <w:t xml:space="preserve">Sources curated March 2026. All RSS feeds verified active at time of publication. University labs listed in order of national AI program ranking. homeTab assignments are default routing tiebreakers only — the keyword classifier determines each article’s final tab placement.</w:t>
      </w:r>
    </w:p>
    <w:p>
      <w:pPr>
        <w:spacing w:before="0" w:after="160"/>
      </w:pPr>
      <w:r>
        <w:t xml:space="preserve"/>
      </w:r>
    </w:p>
    <w:p>
      <w:pPr>
        <w:spacing w:before="0" w:after="120"/>
        <w:jc w:val="center"/>
      </w:pPr>
      <w:r>
        <w:rPr>
          <w:rFonts w:ascii="Arial" w:cs="Arial" w:eastAsia="Arial" w:hAnsi="Arial"/>
          <w:b w:val="false"/>
          <w:bCs w:val="false"/>
          <w:i/>
          <w:iCs/>
          <w:color w:val="8a7e7a"/>
          <w:sz w:val="22"/>
          <w:szCs w:val="22"/>
        </w:rPr>
        <w:t xml:space="preserve">— End of Document —</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8ce" w:sz="4" w:space="4"/>
      </w:pBdr>
      <w:jc w:val="right"/>
    </w:pPr>
    <w:r>
      <w:rPr>
        <w:rFonts w:ascii="Arial" w:cs="Arial" w:eastAsia="Arial" w:hAnsi="Arial"/>
        <w:color w:val="8a7e7a"/>
        <w:sz w:val="18"/>
        <w:szCs w:val="18"/>
      </w:rPr>
      <w:t xml:space="preserve">GCC AI Professional Development Dashboard — Product Requirements Document    </w:t>
    </w:r>
    <w:r>
      <w:rPr>
        <w:rFonts w:ascii="Arial" w:cs="Arial" w:eastAsia="Arial" w:hAnsi="Arial"/>
        <w:color w:val="8a7e7a"/>
        <w:sz w:val="18"/>
        <w:szCs w:val="18"/>
      </w:rPr>
      <w:fldChar w:fldCharType="begin"/>
      <w:instrText xml:space="preserve">PAGE</w:instrText>
      <w:fldChar w:fldCharType="separate"/>
      <w:fldChar w:fldCharType="end"/>
    </w:r>
    <w:r>
      <w:rPr>
        <w:rFonts w:ascii="Arial" w:cs="Arial" w:eastAsia="Arial" w:hAnsi="Arial"/>
        <w:color w:val="8a7e7a"/>
        <w:sz w:val="18"/>
        <w:szCs w:val="18"/>
      </w:rPr>
      <w:t xml:space="preserve"> of </w:t>
    </w:r>
    <w:r>
      <w:rPr>
        <w:rFonts w:ascii="Arial" w:cs="Arial" w:eastAsia="Arial" w:hAnsi="Arial"/>
        <w:color w:val="8a7e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7a508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7a508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3a2e3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2026-03-08T20:27:10.874Z</dcterms:created>
  <dcterms:modified xsi:type="dcterms:W3CDTF">2026-03-08T20:27:10.875Z</dcterms:modified>
</cp:coreProperties>
</file>

<file path=docProps/custom.xml><?xml version="1.0" encoding="utf-8"?>
<Properties xmlns="http://schemas.openxmlformats.org/officeDocument/2006/custom-properties" xmlns:vt="http://schemas.openxmlformats.org/officeDocument/2006/docPropsVTypes"/>
</file>