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ep-summary-michelle-blomberg"/>
      <w:r>
        <w:t xml:space="preserve">FEP Summary · Michelle Blomberg</w:t>
      </w:r>
      <w:bookmarkEnd w:id="20"/>
    </w:p>
    <w:p>
      <w:pPr>
        <w:pStyle w:val="FirstParagraph"/>
      </w:pPr>
      <w:r>
        <w:t xml:space="preserve">Faculty member’s name: Michelle Blomberg</w:t>
      </w:r>
    </w:p>
    <w:p>
      <w:pPr>
        <w:pStyle w:val="BodyText"/>
      </w:pPr>
      <w:r>
        <w:t xml:space="preserve">College and Department: Glendale Community College, Art and Humanities</w:t>
      </w:r>
    </w:p>
    <w:p>
      <w:pPr>
        <w:pStyle w:val="BodyText"/>
      </w:pPr>
      <w:r>
        <w:t xml:space="preserve">Date: For Academic Year: July 1, 2023 – June 30, 2026 (three-year cycle)</w:t>
      </w:r>
    </w:p>
    <w:p>
      <w:pPr>
        <w:pStyle w:val="Heading2"/>
      </w:pPr>
      <w:bookmarkStart w:id="21" w:name="three-required-areas"/>
      <w:r>
        <w:t xml:space="preserve">Three Required Areas</w:t>
      </w:r>
      <w:bookmarkEnd w:id="21"/>
    </w:p>
    <w:p>
      <w:pPr>
        <w:numPr>
          <w:ilvl w:val="0"/>
          <w:numId w:val="1001"/>
        </w:numPr>
        <w:pStyle w:val="Compact"/>
      </w:pPr>
      <w:r>
        <w:t xml:space="preserve">Teaching, Learning, and/or Service</w:t>
      </w:r>
    </w:p>
    <w:p>
      <w:pPr>
        <w:numPr>
          <w:ilvl w:val="0"/>
          <w:numId w:val="1001"/>
        </w:numPr>
        <w:pStyle w:val="Compact"/>
      </w:pPr>
      <w:r>
        <w:t xml:space="preserve">Course Assessment and/or Program Development/Revision</w:t>
      </w:r>
    </w:p>
    <w:p>
      <w:pPr>
        <w:numPr>
          <w:ilvl w:val="0"/>
          <w:numId w:val="1001"/>
        </w:numPr>
        <w:pStyle w:val="Compact"/>
      </w:pPr>
      <w:r>
        <w:t xml:space="preserve">Governance and/or Committee Participation at the College and/or District levels</w:t>
      </w:r>
    </w:p>
    <w:p>
      <w:pPr>
        <w:pStyle w:val="Heading2"/>
      </w:pPr>
      <w:bookmarkStart w:id="22" w:name="two-elective-areas"/>
      <w:r>
        <w:t xml:space="preserve">Two Elective Areas</w:t>
      </w:r>
      <w:bookmarkEnd w:id="22"/>
    </w:p>
    <w:p>
      <w:pPr>
        <w:numPr>
          <w:ilvl w:val="0"/>
          <w:numId w:val="1002"/>
        </w:numPr>
        <w:pStyle w:val="Compact"/>
      </w:pPr>
      <w:r>
        <w:t xml:space="preserve">Professional Development</w:t>
      </w:r>
    </w:p>
    <w:p>
      <w:pPr>
        <w:numPr>
          <w:ilvl w:val="0"/>
          <w:numId w:val="1002"/>
        </w:numPr>
        <w:pStyle w:val="Compact"/>
      </w:pPr>
      <w:r>
        <w:t xml:space="preserve">Acquisition of New Skills</w:t>
      </w:r>
    </w:p>
    <w:p>
      <w:r>
        <w:pict>
          <v:rect style="width:0;height:1.5pt" o:hralign="center" o:hrstd="t" o:hr="t"/>
        </w:pict>
      </w:r>
    </w:p>
    <w:p>
      <w:pPr>
        <w:pStyle w:val="Heading2"/>
      </w:pPr>
      <w:bookmarkStart w:id="23" w:name="Xea012bc39654a89684cac0dd48eb348305dd262"/>
      <w:r>
        <w:t xml:space="preserve">1. Brief description of my roles and responsibilities as a faculty member</w:t>
      </w:r>
      <w:bookmarkEnd w:id="23"/>
    </w:p>
    <w:p>
      <w:pPr>
        <w:pStyle w:val="FirstParagraph"/>
      </w:pPr>
      <w:r>
        <w:t xml:space="preserve">I am Residential Faculty in Digital Media Arts at Glendale Community College, where I teach graphic design, UX, and capstone career readiness. I served as Program Director for Digital Media Arts and Animation from 2011 to 2022, and since 2022 I have been faculty only, teaching 15 or more credit hours each semester. My courses are online and hybrid, and I refine them continuously using student performance data, Canvas analytics, and student feedback.</w:t>
      </w:r>
    </w:p>
    <w:p>
      <w:pPr>
        <w:pStyle w:val="BodyText"/>
      </w:pPr>
      <w:r>
        <w:t xml:space="preserve">My teaching this cycle spans the program from first course to capstone. I teach AVC 100 Introduction to Digital Media, the foundation course every digital media student takes, which my colleagues and I redesigned over the past year and a half and which I am piloting with students this summer; the graphic design sequence, AVC 181 Graphic Design I and AVC 182 Graphic Design II; AVC 248 Design Self Promotion, the capstone career-launch course for Digital Media Arts, Animation, and Photography; and AVC 297AC Commercial Art Internship, where students do real client work for credit. The graphic design sequence is being modernized through curriculum revision: I retired AVC 181 and AVC 182 and adopted the district’s shared AVC 183 and AVC 283, and I am developing a new UX Design course as an either/or option with AVC 283 (more on that in the Program Development section). All of it is hands-on studio teaching: project-based work, live and recorded critique, and direct connection between coursework and the creative workforce. Beyond teaching I advise students on academic and career planning, serve as the department’s eCourses lead, Canvas representative, and Internship Coordinator (placing and supervising students in the AVC 297AC Commercial Art Internship), and review online courses as a Quality Matters and OSCQR lead reviewer.</w:t>
      </w:r>
    </w:p>
    <w:p>
      <w:pPr>
        <w:pStyle w:val="BodyText"/>
      </w:pPr>
      <w:r>
        <w:t xml:space="preserve">Digital Media Arts is a workforce program. Our purpose is to graduate students who are employable in a creative industry that is changing quickly. Over this evaluation cycle, the change that mattered most was the arrival of artificial intelligence in creative and professional work. Employers now expect AI skills. That reality is what drove the focus of this FEP.</w:t>
      </w:r>
    </w:p>
    <w:p>
      <w:pPr>
        <w:pStyle w:val="Heading2"/>
      </w:pPr>
      <w:bookmarkStart w:id="24" w:name="X2bded3d22e9181c8b7d110c7328451512dcc8d3"/>
      <w:r>
        <w:t xml:space="preserve">2. Focus of the FEP and a brief statement of rationale and purpose</w:t>
      </w:r>
      <w:bookmarkEnd w:id="24"/>
    </w:p>
    <w:p>
      <w:pPr>
        <w:pStyle w:val="FirstParagraph"/>
      </w:pPr>
      <w:r>
        <w:t xml:space="preserve">The focus of this FEP is learning to use AI well enough to teach it, and then building that learning into my courses, my tools, and my service to the college and district.</w:t>
      </w:r>
    </w:p>
    <w:p>
      <w:pPr>
        <w:pStyle w:val="BodyText"/>
      </w:pPr>
      <w:r>
        <w:t xml:space="preserve">The origin is simple. In early 2026 I made a deliberate decision to start using AI seriously, specifically Claude, because I did not want my students left behind. Digital Media Arts is a workforce program, the workforce is asking for AI skills, and I could not teach those skills credibly without first building real fluency myself. So I committed to learning by doing: not just reading about AI, but using it daily and building real things with it.</w:t>
      </w:r>
    </w:p>
    <w:p>
      <w:pPr>
        <w:pStyle w:val="BodyText"/>
      </w:pPr>
      <w:r>
        <w:t xml:space="preserve">The rationale connects to a conviction I have held for a long time. The creative tools my students use have always changed. What survives every shift is the underlying thinking, design principles, visual communication, how people process information. AI is the most significant of those shifts so far. My job is to prepare students for tools that keep changing, and to model that kind of learning myself rather than teach it from a distance.</w:t>
      </w:r>
    </w:p>
    <w:p>
      <w:pPr>
        <w:pStyle w:val="BodyText"/>
      </w:pPr>
      <w:r>
        <w:t xml:space="preserve">The goal I set at the start of this cycle was concrete: build real, daily AI fluency, and then put it to work where it matters most, in my courses and my studio teaching, and in service to the college and district. I met that goal. The center of this cycle is my teaching: the AVC 100 redesign, the graphic design sequence (AVC 181 and 182), the AVC 248 capstone, and the AVC 297AC internship, along with the program development that holds them together, including the new UX Design course I am developing. The AI fluency shows up inside that teaching, in how I run critique, how I guide branding decisions, and in a small set of working applications I built to serve students directly. Those applications (Render, CopaMigo, and Cultivate) are prototypes, supporting evidence of the learning rather than the headline.</w:t>
      </w:r>
    </w:p>
    <w:p>
      <w:pPr>
        <w:pStyle w:val="BodyText"/>
      </w:pPr>
      <w:r>
        <w:t xml:space="preserve">This focus produced three connected bodies of work over the cycle: the teaching and program development that are my core faculty job, professional development to build genuine AI fluency, and service that helps the college and district think through AI in a thoughtful, faculty-grounded way. Where I am going next is sustaining the practice rather than treating it as a finished project: the Fall 2026 Render pilot, the AI Community of Practice, and the district committee work all carry it forward.</w:t>
      </w:r>
    </w:p>
    <w:p>
      <w:pPr>
        <w:pStyle w:val="Heading2"/>
      </w:pPr>
      <w:bookmarkStart w:id="25" w:name="summary-of-accomplishments-and-outcomes"/>
      <w:r>
        <w:t xml:space="preserve">3. Summary of accomplishments and outcomes</w:t>
      </w:r>
      <w:bookmarkEnd w:id="25"/>
    </w:p>
    <w:p>
      <w:pPr>
        <w:pStyle w:val="FirstParagraph"/>
      </w:pPr>
      <w:r>
        <w:rPr>
          <w:b/>
        </w:rPr>
        <w:t xml:space="preserve">Teaching across the program, from foundation to capstone.</w:t>
      </w:r>
      <w:r>
        <w:t xml:space="preserve"> </w:t>
      </w:r>
      <w:r>
        <w:t xml:space="preserve">My core work this cycle was the teaching itself. AVC 100 Introduction to Digital Media is the foundation course, and I rebuilt it over the past year and a half, doing most of the work with help from Brian Gerber (more on that in the Course Assessment section). The graphic design sequence, AVC 181 Graphic Design I and AVC 182 Graphic Design II, is hands-on studio work where students learn design principles by making real projects. In the branding projects, I use a practice I require: students generate their own research questions about their brand, and I use AI to answer those questions as design guidance, so the answers steer their actual design decisions instead of leaving the questions hanging. That keeps the thinking theirs while giving them grounded, immediate input on type, color, and visual direction. AVC 248 Design Self Promotion is the capstone, and this cycle I redesigned it into an AI-powered course built around Render: students learn applied AI literacy, use Render across the semester, and finish by building their own portable career agent. The course is built and ready; students have not used Render yet, and the first pilot is Fall 2026. It is the clearest place where the AI fluency this FEP is about shows up directly in my teaching (more on that in the Course Assessment section). AVC 297AC Commercial Art Internship places students in real client work for credit. Across all of these I run a critique workflow that mirrors the creative industry: students screen-record their work in OBS, post to YouTube and Discord for peer and instructor critique, and submit through Canvas, so the feedback loop is continuous and public the way a studio review is. I also build student-services touchpoints directly into coursework so support is part of the class, not separate from it.</w:t>
      </w:r>
    </w:p>
    <w:p>
      <w:pPr>
        <w:pStyle w:val="BodyText"/>
      </w:pPr>
      <w:r>
        <w:rPr>
          <w:b/>
        </w:rPr>
        <w:t xml:space="preserve">AVC 100 course redesign (complete, piloting Summer 2026).</w:t>
      </w:r>
      <w:r>
        <w:t xml:space="preserve"> </w:t>
      </w:r>
      <w:r>
        <w:t xml:space="preserve">I rebuilt AVC 100 Introduction to Digital Media, the foundation course every digital media student takes and historically our lowest-success course, over a year and a half as a faculty-initiated effort. I did most of the build; Brian Gerber helped a fair amount and built the animation module; and our program director, Casey Farina, is contributing a video that welcomes students to our programs. The redesign is finished, and I am running it with students this summer. Because every student in the program passes through it, I treated it as the program’s front door: a course that should welcome students and market our programs rather than scare them away. The redesign lifts success through student support and connection. It carries a single three-phase postcard project across Illustrator, Photoshop, and After Effects, so students build one easy-win piece of work they can be proud of through the whole creative pipeline. The build is grounded in retention research, and the elements are deliberate: student support modules, introductions to the full-time faculty and program directors, clear guidance on where to get help, the message that the software is approachable rather than intimidating, and one short student-success video (about three minutes) per module. The student-success videos were scripted by me and Jeannie Berg and produced by Bryan Dubon, an hourly employee whose video production was funded by Dean Susan Campbell; two examples are</w:t>
      </w:r>
      <w:r>
        <w:t xml:space="preserve"> </w:t>
      </w:r>
      <w:hyperlink r:id="rId26">
        <w:r>
          <w:rPr>
            <w:rStyle w:val="Hyperlink"/>
          </w:rPr>
          <w:t xml:space="preserve">GCC Cares</w:t>
        </w:r>
      </w:hyperlink>
      <w:r>
        <w:t xml:space="preserve"> </w:t>
      </w:r>
      <w:r>
        <w:t xml:space="preserve">and</w:t>
      </w:r>
      <w:r>
        <w:t xml:space="preserve"> </w:t>
      </w:r>
      <w:hyperlink r:id="rId27">
        <w:r>
          <w:rPr>
            <w:rStyle w:val="Hyperlink"/>
          </w:rPr>
          <w:t xml:space="preserve">Advising</w:t>
        </w:r>
      </w:hyperlink>
      <w:r>
        <w:t xml:space="preserve">. The rationale is direct: the course has a low success rate, so support and human connection are the levers most likely to improve retention and bring students into the program. Brian and I both teach the course in the fall, where we will measure the change in success rate against the data that motivated the rebuild.</w:t>
      </w:r>
    </w:p>
    <w:p>
      <w:pPr>
        <w:pStyle w:val="BodyText"/>
      </w:pPr>
      <w:r>
        <w:rPr>
          <w:b/>
        </w:rPr>
        <w:t xml:space="preserve">Building real AI fluency through professional development.</w:t>
      </w:r>
      <w:r>
        <w:t xml:space="preserve"> </w:t>
      </w:r>
      <w:r>
        <w:t xml:space="preserve">When I started, the problem was not a lack of resources, it was too many resources scattered across too many places. I committed to a structured course of learning. Over this cycle I completed the League for Innovation AI Fellows cohort, an eight-week program for community college leaders advancing campus AI work; the University of Michigan Generative AI as a Learning Design Partner specialization on Coursera; the Anthropic Academy Teaching AI Fluency Foundations; Purdue University’s Prompt Engineering microcredential; and Google Generative AI Leader training. Alongside the formal coursework I have been reading widely in the field, watching technical talks such as Andrej Karpathy’s introduction to large language models, and following research from EDUCAUSE, the Online Learning Consortium, Stanford HAI, and the Achieving the Dream report on the AI-enabled community college. A fuller log is in the appendix. Some of this work is still in progress; the point of this cycle was to build a durable learning practice, not to collect certificates.</w:t>
      </w:r>
    </w:p>
    <w:p>
      <w:pPr>
        <w:pStyle w:val="BodyText"/>
      </w:pPr>
      <w:r>
        <w:rPr>
          <w:b/>
        </w:rPr>
        <w:t xml:space="preserve">Applications I built to serve my teaching (all prototypes).</w:t>
      </w:r>
      <w:r>
        <w:t xml:space="preserve"> </w:t>
      </w:r>
      <w:r>
        <w:t xml:space="preserve">To put that fluency to work for students, I built three small applications during the cycle. Each is a prototype or in testing, not a production tool, and each came out of a real classroom or student-services need.</w:t>
      </w:r>
    </w:p>
    <w:p>
      <w:pPr>
        <w:numPr>
          <w:ilvl w:val="0"/>
          <w:numId w:val="1003"/>
        </w:numPr>
        <w:pStyle w:val="Compact"/>
      </w:pPr>
      <w:r>
        <w:rPr>
          <w:b/>
        </w:rPr>
        <w:t xml:space="preserve">Render</w:t>
      </w:r>
      <w:r>
        <w:t xml:space="preserve"> </w:t>
      </w:r>
      <w:r>
        <w:t xml:space="preserve">is a career-launch tool that grew out of my AVC 248 capstone and is now woven through the redesigned course, though students have not used it yet; the first pilot is Fall 2026. It came from a real classroom observation: my students had always done the pieces of career launch (resumes, job research, contracts, interview prep) but scattered across separate documents and discussion boards rather than in one place. When I invited them to try AI on a few of those assignments, like drafting a client contract or tailoring the resume they had written to a specific job they had researched, the AI results came back high-level, but the students enjoyed experimenting, and that experience led me to pull the whole course together into one tool. In the redesigned course, students build resumes, job research, networking plans, and interview practice in one place and keep it after Canvas access ends at graduation, with structured AI coaching tied to their own goals instead of a blank prompt. It collects no personally identifiable information (no PII into AI, student privacy by design) and exports as a standalone file the student owns. New this cycle, the course opens with an AI-literacy unit, runs on weekly slide decks, includes a guided goals builder, and finishes with a Module 9</w:t>
      </w:r>
      <w:r>
        <w:t xml:space="preserve"> </w:t>
      </w:r>
      <w:r>
        <w:t xml:space="preserve">“</w:t>
      </w:r>
      <w:r>
        <w:t xml:space="preserve">Build Your Career Agent</w:t>
      </w:r>
      <w:r>
        <w:t xml:space="preserve">”</w:t>
      </w:r>
      <w:r>
        <w:t xml:space="preserve"> </w:t>
      </w:r>
      <w:r>
        <w:t xml:space="preserve">capstone in which each student builds a portable career agent aligned to a real reach job. The example career agents I show are instructor-built samples from my Render personas, not student work. I presented Render at the Mesa Community College AI Summit in May 2026, and the session was very well received: faculty from other disciplines wanted to build customized versions for themselves, including an Economics professor at CGCC and a Fitness and Wellness instructor at Mesa, and several reached out afterward wanting to collaborate.</w:t>
      </w:r>
      <w:r>
        <w:t xml:space="preserve"> </w:t>
      </w:r>
      <w:r>
        <w:rPr>
          <w:i/>
        </w:rPr>
        <w:t xml:space="preserve">(Live tool:</w:t>
      </w:r>
      <w:r>
        <w:rPr>
          <w:i/>
        </w:rPr>
        <w:t xml:space="preserve"> </w:t>
      </w:r>
      <w:hyperlink r:id="rId28">
        <w:r>
          <w:rPr>
            <w:rStyle w:val="Hyperlink"/>
            <w:i/>
          </w:rPr>
          <w:t xml:space="preserve">render</w:t>
        </w:r>
      </w:hyperlink>
      <w:r>
        <w:rPr>
          <w:i/>
        </w:rPr>
        <w:t xml:space="preserve"> </w:t>
      </w:r>
      <w:r>
        <w:rPr>
          <w:i/>
        </w:rPr>
        <w:t xml:space="preserve">· Overview:</w:t>
      </w:r>
      <w:r>
        <w:rPr>
          <w:i/>
        </w:rPr>
        <w:t xml:space="preserve"> </w:t>
      </w:r>
      <w:hyperlink r:id="rId29">
        <w:r>
          <w:rPr>
            <w:rStyle w:val="Hyperlink"/>
            <w:i/>
          </w:rPr>
          <w:t xml:space="preserve">render/overview.html</w:t>
        </w:r>
      </w:hyperlink>
      <w:r>
        <w:rPr>
          <w:i/>
        </w:rPr>
        <w:t xml:space="preserve"> </w:t>
      </w:r>
      <w:r>
        <w:rPr>
          <w:i/>
        </w:rPr>
        <w:t xml:space="preserve">· PRD:</w:t>
      </w:r>
      <w:r>
        <w:rPr>
          <w:i/>
        </w:rPr>
        <w:t xml:space="preserve"> </w:t>
      </w:r>
      <w:hyperlink r:id="rId30">
        <w:r>
          <w:rPr>
            <w:rStyle w:val="Hyperlink"/>
            <w:i/>
          </w:rPr>
          <w:t xml:space="preserve">render/prd.html</w:t>
        </w:r>
      </w:hyperlink>
      <w:r>
        <w:rPr>
          <w:i/>
        </w:rPr>
        <w:t xml:space="preserve"> </w:t>
      </w:r>
      <w:r>
        <w:rPr>
          <w:i/>
        </w:rPr>
        <w:t xml:space="preserve">· Mesa AI Summit slide deck:</w:t>
      </w:r>
      <w:r>
        <w:rPr>
          <w:i/>
        </w:rPr>
        <w:t xml:space="preserve"> </w:t>
      </w:r>
      <w:hyperlink r:id="rId31">
        <w:r>
          <w:rPr>
            <w:rStyle w:val="Hyperlink"/>
            <w:i/>
          </w:rPr>
          <w:t xml:space="preserve">render/mesa-ai-summit-2026.html</w:t>
        </w:r>
      </w:hyperlink>
      <w:r>
        <w:rPr>
          <w:i/>
        </w:rPr>
        <w:t xml:space="preserve">.)</w:t>
      </w:r>
    </w:p>
    <w:p>
      <w:pPr>
        <w:numPr>
          <w:ilvl w:val="0"/>
          <w:numId w:val="1003"/>
        </w:numPr>
        <w:pStyle w:val="Compact"/>
      </w:pPr>
      <w:r>
        <w:rPr>
          <w:b/>
        </w:rPr>
        <w:t xml:space="preserve">CopaMigo</w:t>
      </w:r>
      <w:r>
        <w:t xml:space="preserve"> </w:t>
      </w:r>
      <w:r>
        <w:t xml:space="preserve">is a bilingual student-support routing prototype I built in direct response to my appointment as co-chair of Domain 5, Student Support and Success, on the district AI committee. That domain’s whole charge is connecting students to the non-classroom services where they stall, and CopaMigo is my hands-on attempt at exactly that problem. Students often stop asking for help because they do not know what to call what they need; CopaMigo lets a student describe their situation in plain English or Spanish (multiple languages are built in) and routes them to the right campus service with a warm handoff card. It is an early prototype in testing. I am working with Genesis Toole and Eric Pawelski to evaluate honestly whether a no-PII tool could connect more students to services than the campus’s current chatbot, which is an exploration, not an adoption decision.</w:t>
      </w:r>
      <w:r>
        <w:t xml:space="preserve"> </w:t>
      </w:r>
      <w:r>
        <w:rPr>
          <w:i/>
        </w:rPr>
        <w:t xml:space="preserve">(Live tool:</w:t>
      </w:r>
      <w:r>
        <w:rPr>
          <w:i/>
        </w:rPr>
        <w:t xml:space="preserve"> </w:t>
      </w:r>
      <w:hyperlink r:id="rId32">
        <w:r>
          <w:rPr>
            <w:rStyle w:val="Hyperlink"/>
            <w:i/>
          </w:rPr>
          <w:t xml:space="preserve">copamigo</w:t>
        </w:r>
      </w:hyperlink>
      <w:r>
        <w:rPr>
          <w:i/>
        </w:rPr>
        <w:t xml:space="preserve"> </w:t>
      </w:r>
      <w:r>
        <w:rPr>
          <w:i/>
        </w:rPr>
        <w:t xml:space="preserve">· PRD:</w:t>
      </w:r>
      <w:r>
        <w:rPr>
          <w:i/>
        </w:rPr>
        <w:t xml:space="preserve"> </w:t>
      </w:r>
      <w:hyperlink r:id="rId33">
        <w:r>
          <w:rPr>
            <w:rStyle w:val="Hyperlink"/>
            <w:i/>
          </w:rPr>
          <w:t xml:space="preserve">copamigo/prd.html</w:t>
        </w:r>
      </w:hyperlink>
      <w:r>
        <w:rPr>
          <w:i/>
        </w:rPr>
        <w:t xml:space="preserve">.)</w:t>
      </w:r>
    </w:p>
    <w:p>
      <w:pPr>
        <w:numPr>
          <w:ilvl w:val="0"/>
          <w:numId w:val="1003"/>
        </w:numPr>
        <w:pStyle w:val="Compact"/>
      </w:pPr>
      <w:r>
        <w:rPr>
          <w:b/>
        </w:rPr>
        <w:t xml:space="preserve">Cultivate</w:t>
      </w:r>
      <w:r>
        <w:t xml:space="preserve"> </w:t>
      </w:r>
      <w:r>
        <w:t xml:space="preserve">is the first tool I built, back in January, as my own on-ramp to learning AI: a personal learning environment where I gathered everything I had been saving into one organized, offline-first place. It holds a multi-year PD plan and a curated news feed across AI in education, EdTech, student success, and UX, and is grounded in my 2017 graduate research on connectivism and personal learning environments. It stores no data on any server.</w:t>
      </w:r>
      <w:r>
        <w:t xml:space="preserve"> </w:t>
      </w:r>
      <w:r>
        <w:rPr>
          <w:i/>
        </w:rPr>
        <w:t xml:space="preserve">(Live tool:</w:t>
      </w:r>
      <w:r>
        <w:rPr>
          <w:i/>
        </w:rPr>
        <w:t xml:space="preserve"> </w:t>
      </w:r>
      <w:hyperlink r:id="rId34">
        <w:r>
          <w:rPr>
            <w:rStyle w:val="Hyperlink"/>
            <w:i/>
          </w:rPr>
          <w:t xml:space="preserve">cultivate</w:t>
        </w:r>
      </w:hyperlink>
      <w:r>
        <w:rPr>
          <w:i/>
        </w:rPr>
        <w:t xml:space="preserve"> </w:t>
      </w:r>
      <w:r>
        <w:rPr>
          <w:i/>
        </w:rPr>
        <w:t xml:space="preserve">· PRD:</w:t>
      </w:r>
      <w:r>
        <w:rPr>
          <w:i/>
        </w:rPr>
        <w:t xml:space="preserve"> </w:t>
      </w:r>
      <w:hyperlink r:id="rId35">
        <w:r>
          <w:rPr>
            <w:rStyle w:val="Hyperlink"/>
            <w:i/>
          </w:rPr>
          <w:t xml:space="preserve">cultivate/prd.html</w:t>
        </w:r>
      </w:hyperlink>
      <w:r>
        <w:rPr>
          <w:i/>
        </w:rPr>
        <w:t xml:space="preserve">.)</w:t>
      </w:r>
    </w:p>
    <w:p>
      <w:pPr>
        <w:pStyle w:val="FirstParagraph"/>
      </w:pPr>
      <w:r>
        <w:rPr>
          <w:b/>
        </w:rPr>
        <w:t xml:space="preserve">Service: a faculty proposal that became district and college work.</w:t>
      </w:r>
      <w:r>
        <w:t xml:space="preserve"> </w:t>
      </w:r>
      <w:r>
        <w:t xml:space="preserve">Early in this cycle I authored a proposal for a campus-wide Faculty AI Advisory Committee at GCC, with supporting research, and submitted it through college governance to the VP of Academic Affairs. The proposal was not adopted as a standalone committee. The thinking behind it, that faculty need a structured, grounded way to navigate AI, has since found two other homes. I am now co-chair of the Student Support and Success domain (Domain 5) on the Maricopa Community Colleges District AI Resource Committee (the ARC), and I am launching a AI Community of Practice at GCC in Fall 2026, developed in partnership with the Center for Teaching, Learning and Engagement, with a kickoff during Accountability Week. Both are described in more detail in the Governance section below.</w:t>
      </w:r>
    </w:p>
    <w:p>
      <w:pPr>
        <w:pStyle w:val="BodyText"/>
      </w:pPr>
      <w:r>
        <w:rPr>
          <w:b/>
        </w:rPr>
        <w:t xml:space="preserve">District AI work: the Student Support and Success domain.</w:t>
      </w:r>
      <w:r>
        <w:t xml:space="preserve"> </w:t>
      </w:r>
      <w:r>
        <w:t xml:space="preserve">The primary concern this work addresses is shared by GCC and the whole district: students stall and leave in the non-classroom services, advising, financial aid, enrollment, registration, and student well-being, and no one has a clear, cross-college picture of where the barriers actually are. As co-chair of Domain 5, I am leading a piece of the district’s AI strategy that reaches across all 10 Maricopa colleges and roughly 140,000 students, which means the work is cross-college and cross-discipline by design, pulling staff from advising, financial aid, and other support areas at colleges that name and run the same services differently. The win-win I am steering toward is a system where students reach help faster and support staff are freed from routine, repetitive work, no one is replaced. The domain is charged with finding where AI can responsibly improve the non-classroom services that drive whether students stay and finish: advising, financial aid, enrollment, registration, and student well-being. Because most of the domain’s members cannot regularly attend meetings, I have driven the methodology and built the deliverables the group works from, giving members something concrete to react to and contribute to rather than meetings that produce nothing.</w:t>
      </w:r>
    </w:p>
    <w:p>
      <w:pPr>
        <w:pStyle w:val="BodyText"/>
      </w:pPr>
      <w:r>
        <w:t xml:space="preserve">The methodology is three phases. First, a service inventory and cross-college crosswalk that maps how the same student-facing functions are named differently at each college, along with a usage baseline for how many students actually use each service and how departments think students find them versus how they really do. Second, usability studies and staff workflow audits, a student-journey UX study in which research personas walk the full journey from application to graduation at all 10 colleges and capture barriers and their severity. Third, turning those findings into a prioritized, human-in-the-loop AI roadmap with pilots, built with staff and students. Two principles hold the work together. The first is data sovereignty: I prefer building tools that collect no personally identifiable information over buying ones that do, and the district already declined a vendor AI add-on for that reason. The second is staff buy-in. Automation here takes routine, repetitive work off support staff, the easy factual questions and the</w:t>
      </w:r>
      <w:r>
        <w:t xml:space="preserve"> </w:t>
      </w:r>
      <w:r>
        <w:t xml:space="preserve">“</w:t>
      </w:r>
      <w:r>
        <w:t xml:space="preserve">we will get back to you in a few days</w:t>
      </w:r>
      <w:r>
        <w:t xml:space="preserve">”</w:t>
      </w:r>
      <w:r>
        <w:t xml:space="preserve"> </w:t>
      </w:r>
      <w:r>
        <w:t xml:space="preserve">booking email, so they can spend their time on individual problems and human connection. It replaces no one. Once the UX study identifies where the real barriers are, the domain turns the findings into prioritized AI opportunities and pilots that roll out across the colleges. The public case study for this work lives at the airc-sss site.</w:t>
      </w:r>
    </w:p>
    <w:p>
      <w:pPr>
        <w:pStyle w:val="BodyText"/>
      </w:pPr>
      <w:r>
        <w:rPr>
          <w:b/>
        </w:rPr>
        <w:t xml:space="preserve">College service: Basic Needs Committee and CopaMigo evaluation.</w:t>
      </w:r>
      <w:r>
        <w:t xml:space="preserve"> </w:t>
      </w:r>
      <w:r>
        <w:t xml:space="preserve">Closer to home, the college’s primary concern on the Basic Needs Committee is turning the former bookstore into a basic-needs space that students actually use, on a tight budget and with no clear way to brand or decorate it. I serve on the committee and addressed that concern directly: my Digital Media Arts students will paint the murals and develop the brand for the space, funded through an approved AmeriCorps internship I helped secure by working it out with Stacy Moreno. That is a win-win. The college gets professional brand and mural work it could not otherwise fund, and my students get real, paid, applied, student-facing work tied directly to their program. It also reaches across silos, pulling an academic program (Digital Media Arts) into a student-services initiative that would not normally touch a creative discipline.</w:t>
      </w:r>
    </w:p>
    <w:p>
      <w:pPr>
        <w:pStyle w:val="BodyText"/>
      </w:pPr>
      <w:r>
        <w:t xml:space="preserve">A second college concern is that students often do not reach the student-services help that already exists. I am working with Genesis Toole to set up a meeting and demo with Eric Pawelski to show CopaMigo, with the goal of moving it toward a campus pilot as a better front door than the website’s current automated chatbot. How it works: a student describes their situation in plain language, in English or one of several built-in languages, and CopaMigo routes them to the right campus service with a warm handoff card that shows the contact, hours, location, and exactly what to ask for. It improves on the current chatbot on several fronts: it connects students to the right human instead of just returning text; it meets students who do not know what to call the help they need, which is the most common reason they stop asking; it routes across 14 service modules using more than 100 verified GCC URLs so the information is current rather than generic; it leads with empathy and includes a warm handoff for students in crisis; and it collects no personally identifiable information, which matters because the district already declined a vendor AI add-on specifically because it collected student data. This is a collaboration: I bring the prototype and the no-PII design, and they bring the student-services view of what the current bot does and does not do. CopaMigo is an early prototype in testing, so this remains an exploration toward whatever serves students best, not a decision to adopt.</w:t>
      </w:r>
    </w:p>
    <w:p>
      <w:pPr>
        <w:pStyle w:val="Heading2"/>
      </w:pPr>
      <w:bookmarkStart w:id="36" w:name="Xa96e63c30593f038bc51513acf26f6b66b36b1b"/>
      <w:r>
        <w:t xml:space="preserve">4. Brief statement of plans to integrate or apply this learning into my work as a faculty member</w:t>
      </w:r>
      <w:bookmarkEnd w:id="36"/>
    </w:p>
    <w:p>
      <w:pPr>
        <w:pStyle w:val="FirstParagraph"/>
      </w:pPr>
      <w:r>
        <w:t xml:space="preserve">The most immediate application is the Fall 2026 Render pilot in AVC 248, the redesigned AI-powered capstone. The pilot will test whether the course and tool work as intended with a full class and produce the data to revise them. I completed the AVC 100 redesign this cycle and am piloting it with students this summer; Brian Gerber and I teach it in the fall, where we will measure the change in success rate against the retention research it is grounded in.</w:t>
      </w:r>
    </w:p>
    <w:p>
      <w:pPr>
        <w:pStyle w:val="BodyText"/>
      </w:pPr>
      <w:r>
        <w:t xml:space="preserve">More broadly, I want AI integration to stay a sustained, evidence-informed thread in my practice rather than a single project, and three efforts are my major focus for the coming year. First, the</w:t>
      </w:r>
      <w:r>
        <w:t xml:space="preserve"> </w:t>
      </w:r>
      <w:r>
        <w:rPr>
          <w:b/>
        </w:rPr>
        <w:t xml:space="preserve">AI Community of Practice</w:t>
      </w:r>
      <w:r>
        <w:t xml:space="preserve"> </w:t>
      </w:r>
      <w:r>
        <w:t xml:space="preserve">gives the work an ongoing home at the college: a place where AI early adopters across campus, faculty, staff, and administrators, share what is working with one another, and where I will contribute what I have learned, including agentic AI. Its aim is sharing among power users rather than training, though we may collaborate on some CTLE trainings and support the campus technology committee (TAC), which has been assigned AI. Second, the</w:t>
      </w:r>
      <w:r>
        <w:t xml:space="preserve"> </w:t>
      </w:r>
      <w:r>
        <w:rPr>
          <w:b/>
        </w:rPr>
        <w:t xml:space="preserve">Student Support and Success domain</w:t>
      </w:r>
      <w:r>
        <w:t xml:space="preserve"> </w:t>
      </w:r>
      <w:r>
        <w:t xml:space="preserve">work on the district ARC gives it reach across all 10 Maricopa colleges; a key direction there is mentoring student-services staff in building their own agentic AI tools, so routine, repetitive work comes off their plates and they can focus on the students they serve. Third, the</w:t>
      </w:r>
      <w:r>
        <w:t xml:space="preserve"> </w:t>
      </w:r>
      <w:r>
        <w:rPr>
          <w:b/>
        </w:rPr>
        <w:t xml:space="preserve">Campus Cares (Basic Needs) brand system</w:t>
      </w:r>
      <w:r>
        <w:t xml:space="preserve">, where a recent DMA alumna and I are developing the full brand and marketing design for the new basic-needs hub. Alongside these, I plan to keep building prompt engineering into the capstone and graphic design courses, since it mirrors workforce demand, and to keep developing CopaMigo toward something other Maricopa colleges could use.</w:t>
      </w:r>
    </w:p>
    <w:p>
      <w:pPr>
        <w:pStyle w:val="Heading2"/>
      </w:pPr>
      <w:bookmarkStart w:id="37" w:name="X29ae16c84f78b86620505550b03c26861bea2a6"/>
      <w:r>
        <w:t xml:space="preserve">5. What method and class was used for the student/service recipient evaluation</w:t>
      </w:r>
      <w:bookmarkEnd w:id="37"/>
    </w:p>
    <w:p>
      <w:pPr>
        <w:pStyle w:val="FirstParagraph"/>
      </w:pPr>
      <w:r>
        <w:t xml:space="preserve">The method for this cycle is student and service-recipient evaluation from my own classes. Four evaluations are documented here, so they are all in one place: two official department reports (AVC 297AC Commercial Art Internship and AVC 181 Graphic Design I) and two of my own in-course surveys (AVC 182 Graphic Design II and AVC 181 Graphic Design I). I focus on the teaching items and on what students wrote, setting aside logistics questions (advisor awareness, loaner laptops) that are not measures of teaching. The two official PDFs are attached, and a charted version with full response distributions and every written comment is at</w:t>
      </w:r>
      <w:r>
        <w:t xml:space="preserve"> </w:t>
      </w:r>
      <w:hyperlink r:id="rId38">
        <w:r>
          <w:rPr>
            <w:rStyle w:val="Hyperlink"/>
          </w:rPr>
          <w:t xml:space="preserve">fep-evaluations.html</w:t>
        </w:r>
      </w:hyperlink>
      <w:r>
        <w:t xml:space="preserve">.</w:t>
      </w:r>
    </w:p>
    <w:p>
      <w:pPr>
        <w:pStyle w:val="BodyText"/>
      </w:pPr>
      <w:r>
        <w:t xml:space="preserve">The piece I am proudest of is not on a survey. A Digital Media Arts student who nearly withdrew, behind on dozens of assignments after a connectivity failure left her cut off at sea, wrote to me in April 2026:</w:t>
      </w:r>
      <w:r>
        <w:t xml:space="preserve"> </w:t>
      </w:r>
      <w:r>
        <w:t xml:space="preserve">“</w:t>
      </w:r>
      <w:r>
        <w:t xml:space="preserve">I got so discouraged that I reached out to every teacher asking if it was possible to even pass. One teacher was kind of rude, but you and [a colleague] both hyped me up and told me what to focus on, and you two are the reasons I did not drop all my classes. I may not get the perfect grade I was hoping for, but I will finish.</w:t>
      </w:r>
      <w:r>
        <w:t xml:space="preserve">”</w:t>
      </w:r>
      <w:r>
        <w:t xml:space="preserve"> </w:t>
      </w:r>
      <w:r>
        <w:t xml:space="preserve">That is the retention outcome the AVC 100 redesign is built to create: connection and support that keep a student enrolled.</w:t>
      </w:r>
    </w:p>
    <w:p>
      <w:pPr>
        <w:pStyle w:val="BodyText"/>
      </w:pPr>
      <w:r>
        <w:rPr>
          <w:b/>
        </w:rPr>
        <w:t xml:space="preserve">Official department reports.</w:t>
      </w:r>
      <w:r>
        <w:t xml:space="preserve"> </w:t>
      </w:r>
      <w:r>
        <w:t xml:space="preserve">AVC 297AC Commercial Art Internship scored a perfect 5.00 on every rated item (3 responses), and that report doubles as my interns’ reflection on the experience. AVC 181 Graphic Design I (1 response) was near-perfect, with 5.00s across content relevance, organization, supportiveness, assignments, collaboration, feedback, and grading.</w:t>
      </w:r>
    </w:p>
    <w:p>
      <w:pPr>
        <w:pStyle w:val="BodyText"/>
      </w:pPr>
      <w:r>
        <w:rPr>
          <w:b/>
        </w:rPr>
        <w:t xml:space="preserve">My own in-course surveys.</w:t>
      </w:r>
      <w:r>
        <w:t xml:space="preserve"> </w:t>
      </w:r>
      <w:r>
        <w:t xml:space="preserve">On the teaching items, students responded positively 122 to 2 in AVC 182 (13 responses, 98 percent) and 108 to 1 in AVC 181 (12 responses, 99 percent). A few representative comments:</w:t>
      </w:r>
      <w:r>
        <w:t xml:space="preserve"> </w:t>
      </w:r>
      <w:r>
        <w:t xml:space="preserve">-</w:t>
      </w:r>
      <w:r>
        <w:t xml:space="preserve"> </w:t>
      </w:r>
      <w:r>
        <w:t xml:space="preserve">“</w:t>
      </w:r>
      <w:r>
        <w:t xml:space="preserve">She has done amazing in providing feedback to our work, in a way that feels both supportive and provides growth in our skills.</w:t>
      </w:r>
      <w:r>
        <w:t xml:space="preserve">”</w:t>
      </w:r>
      <w:r>
        <w:t xml:space="preserve"> </w:t>
      </w:r>
      <w:r>
        <w:t xml:space="preserve">(AVC 182)</w:t>
      </w:r>
      <w:r>
        <w:t xml:space="preserve"> </w:t>
      </w:r>
      <w:r>
        <w:t xml:space="preserve">-</w:t>
      </w:r>
      <w:r>
        <w:t xml:space="preserve"> </w:t>
      </w:r>
      <w:r>
        <w:t xml:space="preserve">“</w:t>
      </w:r>
      <w:r>
        <w:t xml:space="preserve">Innovation. She is on the cutting edge of AI use in MCCCD.</w:t>
      </w:r>
      <w:r>
        <w:t xml:space="preserve">”</w:t>
      </w:r>
      <w:r>
        <w:t xml:space="preserve"> </w:t>
      </w:r>
      <w:r>
        <w:t xml:space="preserve">(AVC 182)</w:t>
      </w:r>
      <w:r>
        <w:t xml:space="preserve"> </w:t>
      </w:r>
      <w:r>
        <w:t xml:space="preserve">-</w:t>
      </w:r>
      <w:r>
        <w:t xml:space="preserve"> </w:t>
      </w:r>
      <w:r>
        <w:t xml:space="preserve">“</w:t>
      </w:r>
      <w:r>
        <w:t xml:space="preserve">Breaking a project into Steps and Parts makes it much easier to manage my time and workload, and the learning process feels more streamlined.</w:t>
      </w:r>
      <w:r>
        <w:t xml:space="preserve">”</w:t>
      </w:r>
      <w:r>
        <w:t xml:space="preserve"> </w:t>
      </w:r>
      <w:r>
        <w:t xml:space="preserve">(AVC 181)</w:t>
      </w:r>
      <w:r>
        <w:t xml:space="preserve"> </w:t>
      </w:r>
      <w:r>
        <w:t xml:space="preserve">-</w:t>
      </w:r>
      <w:r>
        <w:t xml:space="preserve"> </w:t>
      </w:r>
      <w:r>
        <w:t xml:space="preserve">“</w:t>
      </w:r>
      <w:r>
        <w:t xml:space="preserve">She has great empathy. Feeling cared for does wonders for my success.</w:t>
      </w:r>
      <w:r>
        <w:t xml:space="preserve">”</w:t>
      </w:r>
      <w:r>
        <w:t xml:space="preserve"> </w:t>
      </w:r>
      <w:r>
        <w:t xml:space="preserve">(AVC 181)</w:t>
      </w:r>
      <w:r>
        <w:t xml:space="preserve"> </w:t>
      </w:r>
      <w:r>
        <w:t xml:space="preserve">-</w:t>
      </w:r>
      <w:r>
        <w:t xml:space="preserve"> </w:t>
      </w:r>
      <w:r>
        <w:t xml:space="preserve">“</w:t>
      </w:r>
      <w:r>
        <w:t xml:space="preserve">Loved this class! It was my favorite one this semester.</w:t>
      </w:r>
      <w:r>
        <w:t xml:space="preserve">”</w:t>
      </w:r>
      <w:r>
        <w:t xml:space="preserve"> </w:t>
      </w:r>
      <w:r>
        <w:t xml:space="preserve">(AVC 181)</w:t>
      </w:r>
    </w:p>
    <w:p>
      <w:pPr>
        <w:pStyle w:val="BodyText"/>
      </w:pPr>
      <w:r>
        <w:rPr>
          <w:b/>
        </w:rPr>
        <w:t xml:space="preserve">What students named as strengths:</w:t>
      </w:r>
      <w:r>
        <w:t xml:space="preserve"> </w:t>
      </w:r>
      <w:r>
        <w:t xml:space="preserve">care and support, communication and responsiveness, the step-based project structure, constructive feedback, real portfolio-ready work, and AI innovation.</w:t>
      </w:r>
      <w:r>
        <w:t xml:space="preserve"> </w:t>
      </w:r>
      <w:r>
        <w:rPr>
          <w:b/>
        </w:rPr>
        <w:t xml:space="preserve">Where they wanted more:</w:t>
      </w:r>
      <w:r>
        <w:t xml:space="preserve"> </w:t>
      </w:r>
      <w:r>
        <w:t xml:space="preserve">grading and feedback turnaround on every step of a large class, slightly clearer instructions in a few places, and more even peer critique on Discord.</w:t>
      </w:r>
    </w:p>
    <w:p>
      <w:pPr>
        <w:pStyle w:val="BodyText"/>
      </w:pPr>
      <w:r>
        <w:rPr>
          <w:b/>
        </w:rPr>
        <w:t xml:space="preserve">Reflection.</w:t>
      </w:r>
      <w:r>
        <w:t xml:space="preserve"> </w:t>
      </w:r>
      <w:r>
        <w:t xml:space="preserve">What I learned from the evaluations is that the relational and structural parts of my teaching are landing well, students feel cared for, find me responsive, and value the way I break projects into steps, and that my one clear, fair weakness is grading and feedback turnaround in 24-student online courses. I am applying that lesson now: for the formative steps of a scaffolded project I am moving to a single whole-class video critique in Discord (the online version of pinning work to a studio critique wall) with checkmark, complete-or-incomplete grading, and reserving full individual written feedback for the summative final work, where it matters most. I am also carrying the smaller-step, faster-feedback structure from the AVC 100 redesign into my other courses, and using my AI work to take routine load off so timely human feedback has room to grow. The full strengths, weaknesses, and reflection are in the</w:t>
      </w:r>
      <w:r>
        <w:t xml:space="preserve"> </w:t>
      </w:r>
      <w:hyperlink r:id="rId38">
        <w:r>
          <w:rPr>
            <w:rStyle w:val="Hyperlink"/>
          </w:rPr>
          <w:t xml:space="preserve">evaluation summary</w:t>
        </w:r>
      </w:hyperlink>
      <w:r>
        <w:t xml:space="preserve">. Regular and substantive interaction is something I keep refining and love comparing notes on with other faculty.</w:t>
      </w:r>
    </w:p>
    <w:p>
      <w:pPr>
        <w:pStyle w:val="Heading2"/>
      </w:pPr>
      <w:bookmarkStart w:id="39" w:name="goals-for-next-evaluation"/>
      <w:r>
        <w:t xml:space="preserve">6. Goals for next evaluation</w:t>
      </w:r>
      <w:bookmarkEnd w:id="39"/>
    </w:p>
    <w:p>
      <w:pPr>
        <w:numPr>
          <w:ilvl w:val="0"/>
          <w:numId w:val="1004"/>
        </w:numPr>
        <w:pStyle w:val="Compact"/>
      </w:pPr>
      <w:r>
        <w:t xml:space="preserve">Run the Fall 2026 Render pilot in AVC 248, gather class data, and revise the tool based on what students actually use.</w:t>
      </w:r>
    </w:p>
    <w:p>
      <w:pPr>
        <w:numPr>
          <w:ilvl w:val="0"/>
          <w:numId w:val="1004"/>
        </w:numPr>
        <w:pStyle w:val="Compact"/>
      </w:pPr>
      <w:r>
        <w:t xml:space="preserve">Record the Fall 2026 pilot end to end and present Render again with real pilot results. I am looking for a larger conference at which to present Render, and I am pursuing the cross-faculty collaborations that came out of the Mesa AI Summit (including faculty in Economics and in Fitness and Wellness), helping other faculty adapt something like Render for their own students.</w:t>
      </w:r>
    </w:p>
    <w:p>
      <w:pPr>
        <w:numPr>
          <w:ilvl w:val="0"/>
          <w:numId w:val="1004"/>
        </w:numPr>
        <w:pStyle w:val="Compact"/>
      </w:pPr>
      <w:r>
        <w:t xml:space="preserve">Attend EDUCAUSE this summer to keep current and grow my professional network in instructional design and AI.</w:t>
      </w:r>
    </w:p>
    <w:p>
      <w:pPr>
        <w:numPr>
          <w:ilvl w:val="0"/>
          <w:numId w:val="1004"/>
        </w:numPr>
        <w:pStyle w:val="Compact"/>
      </w:pPr>
      <w:r>
        <w:t xml:space="preserve">Establish the AI Community of Practice as a sustained monthly structure with consistent participation.</w:t>
      </w:r>
    </w:p>
    <w:p>
      <w:pPr>
        <w:numPr>
          <w:ilvl w:val="0"/>
          <w:numId w:val="1004"/>
        </w:numPr>
        <w:pStyle w:val="Compact"/>
      </w:pPr>
      <w:r>
        <w:t xml:space="preserve">Carry the district AI committee (ARC Student Support and Success) work from the summer service inventory into the fall usability studies and toward the 2027 roadmap, and begin mentoring student-services staff in building their own agentic AI tools that take routine, repetitive work off their plates so they can focus on the students they serve.</w:t>
      </w:r>
    </w:p>
    <w:p>
      <w:pPr>
        <w:numPr>
          <w:ilvl w:val="0"/>
          <w:numId w:val="1004"/>
        </w:numPr>
        <w:pStyle w:val="Compact"/>
      </w:pPr>
      <w:r>
        <w:t xml:space="preserve">Develop and deliver the full Campus Cares (Basic Needs) brand and marketing system with a recent DMA alumna for the new basic-needs hub.</w:t>
      </w:r>
    </w:p>
    <w:p>
      <w:pPr>
        <w:numPr>
          <w:ilvl w:val="0"/>
          <w:numId w:val="1004"/>
        </w:numPr>
        <w:pStyle w:val="Compact"/>
      </w:pPr>
      <w:r>
        <w:t xml:space="preserve">Continue developing CopaMigo toward a version other Maricopa colleges could adopt.</w:t>
      </w:r>
    </w:p>
    <w:p>
      <w:pPr>
        <w:numPr>
          <w:ilvl w:val="0"/>
          <w:numId w:val="1004"/>
        </w:numPr>
        <w:pStyle w:val="Compact"/>
      </w:pPr>
      <w:r>
        <w:t xml:space="preserve">Keep building AI fluency and prompt engineering into the capstone and graphic design curriculum, informed by the pilot results.</w:t>
      </w:r>
    </w:p>
    <w:p>
      <w:r>
        <w:pict>
          <v:rect style="width:0;height:1.5pt" o:hralign="center" o:hrstd="t" o:hr="t"/>
        </w:pict>
      </w:r>
    </w:p>
    <w:p>
      <w:pPr>
        <w:pStyle w:val="Heading2"/>
      </w:pPr>
      <w:bookmarkStart w:id="40" w:name="X76edf6edb09a17003e41dbc9eb51c5b201f437b"/>
      <w:r>
        <w:t xml:space="preserve">Required Area · Teaching, Learning, and/or Service</w:t>
      </w:r>
      <w:bookmarkEnd w:id="40"/>
    </w:p>
    <w:p>
      <w:pPr>
        <w:pStyle w:val="FirstParagraph"/>
      </w:pPr>
      <w:r>
        <w:t xml:space="preserve">The goal across my teaching this cycle was consistent: students should leave a course with something they keep using, not just a grade. I teach Digital Media Arts as a studio. Here is how a typical unit runs in my graphic design and capstone courses. I open with the design objective and show the professional standard the work is measured against. Students do hands-on project work, then bring it to critique: they screen-record their process and result in OBS, post to YouTube and Discord, and submit through Canvas, so critique happens continuously and in the open the way it does in a real creative studio, not just at the end on a private upload. They learn to give and take critique, defend design choices, and revise. The takeaway I am after is that students connect design theory (hierarchy, type, color, visual communication) to real, finished, employable work.</w:t>
      </w:r>
    </w:p>
    <w:p>
      <w:pPr>
        <w:pStyle w:val="BodyText"/>
      </w:pPr>
      <w:r>
        <w:t xml:space="preserve">A concrete example of teaching theory through practice is the branding work in AVC 183 Digital Graphic Design 1. I require students to write their own research questions about the brand they are building. Then I use AI to answer those student-written questions and bring the answers back as design guidance, so the research steers their decisions on type, color, and direction while the questions, and the design, stay theirs. It is a way to give every student grounded, immediate input without handing them the answers. AVC 183 also carries a strong artifact of this approach, the graphic-design-history project, where each student pair becomes the expert on one era and builds a tool to teach it to the class. AVC 297AC Commercial Art Internship takes this all the way to real client work for credit, which is the clearest test of whether students can apply what they learned. As Internship Coordinator I place and supervise every student, set the learning outcomes with the host employer, and have each intern reflect on the experience at the end of the placement. The result is real, portfolio-ready work, and award-winning work at that: both</w:t>
      </w:r>
      <w:r>
        <w:t xml:space="preserve"> </w:t>
      </w:r>
      <w:hyperlink r:id="rId41">
        <w:r>
          <w:rPr>
            <w:rStyle w:val="Hyperlink"/>
          </w:rPr>
          <w:t xml:space="preserve">Art Beyond Gravity</w:t>
        </w:r>
      </w:hyperlink>
      <w:r>
        <w:t xml:space="preserve"> </w:t>
      </w:r>
      <w:r>
        <w:t xml:space="preserve">by Madisen Wohrle and</w:t>
      </w:r>
      <w:r>
        <w:t xml:space="preserve"> </w:t>
      </w:r>
      <w:hyperlink r:id="rId42">
        <w:r>
          <w:rPr>
            <w:rStyle w:val="Hyperlink"/>
          </w:rPr>
          <w:t xml:space="preserve">The Hidden Cost of Wild Horse Roundups</w:t>
        </w:r>
      </w:hyperlink>
      <w:r>
        <w:t xml:space="preserve"> </w:t>
      </w:r>
      <w:r>
        <w:t xml:space="preserve">by Langna Tran won Artists of Promise awards in the Maricopa district competition. The AVC 297AC course evaluation (in the evaluation summary) is itself the interns’ feedback on the experience: every rating a perfect 5.0, with comments about getting to do real client work and learning what the actual working world is like. AVC 100 anchors the other end: early, structured contact with the full-time faculty, program directors, and campus support services that retention research shows make the difference in whether a student persists.</w:t>
      </w:r>
    </w:p>
    <w:p>
      <w:pPr>
        <w:pStyle w:val="BodyText"/>
      </w:pPr>
      <w:r>
        <w:t xml:space="preserve">The clearest single piece of evidence that I applied the AI fluency this FEP is about directly to my teaching is the AVC 248 Design Self Promotion redesign. This is my capstone, and this cycle I rebuilt it into an AI-powered course. In the redesigned course students learn applied AI literacy up front, use Render (the career-launch tool I built) across the semester, and finish by building their own personal learning environment, a portable career agent aligned to a real reach job that they keep and iterate after the course ends. The course is built and ready, but students have not used Render yet; the Fall 2026 pilot is the first time. What I added this cycle is concrete: an AI-literacy unit at the start, weekly slide decks, a guided goals builder, a Module 9</w:t>
      </w:r>
      <w:r>
        <w:t xml:space="preserve"> </w:t>
      </w:r>
      <w:r>
        <w:t xml:space="preserve">“</w:t>
      </w:r>
      <w:r>
        <w:t xml:space="preserve">Build Your Career Agent</w:t>
      </w:r>
      <w:r>
        <w:t xml:space="preserve">”</w:t>
      </w:r>
      <w:r>
        <w:t xml:space="preserve"> </w:t>
      </w:r>
      <w:r>
        <w:t xml:space="preserve">capstone, and example career agents I built from my Render personas I can show. The pedagogy underneath is connectivism in practice, the same theory from my 2017 graduate research, now built into a course rather than described in one. I designed it with student privacy by design, no personally identifiable information goes into the AI. What I learned building it is that I can teach AI most honestly by modeling it, running a course on the tools my students will be asked to use rather than lecturing about them from a distance. Where I am going is the Fall 2026 pilot, which will tell me what students actually keep and use after the course ends. The proof the capstone works is what students walk out with: a complete portfolio reel they own and can show employers. A representative sample from Spring 2026 shows the program’s range, from animation to graphic design to illustration:</w:t>
      </w:r>
      <w:r>
        <w:t xml:space="preserve"> </w:t>
      </w:r>
      <w:hyperlink r:id="rId43">
        <w:r>
          <w:rPr>
            <w:rStyle w:val="Hyperlink"/>
          </w:rPr>
          <w:t xml:space="preserve">Alexis Barsalou</w:t>
        </w:r>
      </w:hyperlink>
      <w:r>
        <w:t xml:space="preserve"> </w:t>
      </w:r>
      <w:r>
        <w:t xml:space="preserve">(animation and game),</w:t>
      </w:r>
      <w:r>
        <w:t xml:space="preserve"> </w:t>
      </w:r>
      <w:hyperlink r:id="rId44">
        <w:r>
          <w:rPr>
            <w:rStyle w:val="Hyperlink"/>
          </w:rPr>
          <w:t xml:space="preserve">Lilyana Vera</w:t>
        </w:r>
      </w:hyperlink>
      <w:r>
        <w:t xml:space="preserve"> </w:t>
      </w:r>
      <w:r>
        <w:t xml:space="preserve">(animation, illustration, and concept art),</w:t>
      </w:r>
      <w:r>
        <w:t xml:space="preserve"> </w:t>
      </w:r>
      <w:hyperlink r:id="rId45">
        <w:r>
          <w:rPr>
            <w:rStyle w:val="Hyperlink"/>
          </w:rPr>
          <w:t xml:space="preserve">Gigi Magee</w:t>
        </w:r>
      </w:hyperlink>
      <w:r>
        <w:t xml:space="preserve"> </w:t>
      </w:r>
      <w:r>
        <w:t xml:space="preserve">(branding and design), and</w:t>
      </w:r>
      <w:r>
        <w:t xml:space="preserve"> </w:t>
      </w:r>
      <w:hyperlink r:id="rId46">
        <w:r>
          <w:rPr>
            <w:rStyle w:val="Hyperlink"/>
          </w:rPr>
          <w:t xml:space="preserve">Beau Tukey</w:t>
        </w:r>
      </w:hyperlink>
      <w:r>
        <w:t xml:space="preserve"> </w:t>
      </w:r>
      <w:r>
        <w:t xml:space="preserve">(graphic design and 3D modeling). One student,</w:t>
      </w:r>
      <w:r>
        <w:t xml:space="preserve"> </w:t>
      </w:r>
      <w:hyperlink r:id="rId47">
        <w:r>
          <w:rPr>
            <w:rStyle w:val="Hyperlink"/>
          </w:rPr>
          <w:t xml:space="preserve">Jimena Gutierrez Moreno</w:t>
        </w:r>
      </w:hyperlink>
      <w:r>
        <w:t xml:space="preserve">, used her capstone portfolio to transfer to ASU.</w:t>
      </w:r>
    </w:p>
    <w:p>
      <w:pPr>
        <w:pStyle w:val="BodyText"/>
      </w:pPr>
      <w:r>
        <w:t xml:space="preserve">The longest-running example of this experiential teaching is The Traveler, GCC’s annual student literary and arts publication, which students design end to end. I have been the faculty advisor through Volumes 44 to 58, sixteen years. The department solicits the submissions; the students then judge the first cut of the work, a community judge selects the final places for the competition, and the students edit, design the book, take it to print, and host the launch. My role is to mentor them through a real production cycle with real deadlines and a real printed result, not a classroom exercise. It is the clearest example I have of teaching that connects design and editorial theory to finished, professional work students see through to publication. The Traveler won the CMA Pinnacle Award for Literary Magazine of the Year in 2025, and a documentary about it is currently being made by my students Yesenia and Madisen Whorle. It is hands-on experiential learning and mentorship at the same time it is service to the college.</w:t>
      </w:r>
    </w:p>
    <w:p>
      <w:pPr>
        <w:pStyle w:val="BodyText"/>
      </w:pPr>
      <w:r>
        <w:rPr>
          <w:b/>
        </w:rPr>
        <w:t xml:space="preserve">Reflection.</w:t>
      </w:r>
      <w:r>
        <w:t xml:space="preserve"> </w:t>
      </w:r>
      <w:r>
        <w:t xml:space="preserve">The learning I want reviewers to see here is also my own. I set out to build genuine AI fluency and met that goal by using AI daily in my teaching practice, including teaching myself to build small functional applications so the capstone could offer real AI-supported scaffolding instead of a blank prompt. What I learned is that I can extend my design and instructional-design background into building, and that learning by doing is more honest than learning about AI from a distance. The work documents itself: a reviewer can open the Mesa AI Summit presentation, the live portfolio website at singletrackmom.github.io, and the prototype tools behind them. What ties this learning to my job is student success. I apply what I learn, about AI, about feedback, and about course design, to keep students supported, enrolled, and moving toward the goal they came for, which is the priority underneath everything I do.</w:t>
      </w:r>
    </w:p>
    <w:p>
      <w:pPr>
        <w:pStyle w:val="BodyText"/>
      </w:pPr>
      <w:r>
        <w:t xml:space="preserve">I am also evolving how I give feedback in my online studios. With 24 students and scaffolded projects, grading every step individually is the bottleneck my students rightly named, so I am shifting my feedback cycles: for the formative steps I will give a whole-class video critique in Discord, the online version of a studio critique wall where we talk through the work together, and I will reserve full individual written feedback for the summative final work. It keeps the interaction frequent and substantive while making the turnaround sustainable, and it is grounded in regular and substantive interaction, which I keep refining and love comparing notes on with other faculty. Where I am going next is to keep this a sustained, evidence-informed thread, starting with the Fall 2026 Render pilot and the feedback it produces.</w:t>
      </w:r>
    </w:p>
    <w:p>
      <w:pPr>
        <w:pStyle w:val="Heading2"/>
      </w:pPr>
      <w:bookmarkStart w:id="48" w:name="X4a436e19843fd36cb25d71039f3141ba25ac7da"/>
      <w:r>
        <w:t xml:space="preserve">Required Area · Course Assessment and/or Program Development/Revision</w:t>
      </w:r>
      <w:bookmarkEnd w:id="48"/>
    </w:p>
    <w:p>
      <w:pPr>
        <w:pStyle w:val="FirstParagraph"/>
      </w:pPr>
      <w:r>
        <w:t xml:space="preserve">This cycle had three pieces of real course and program development.</w:t>
      </w:r>
    </w:p>
    <w:p>
      <w:pPr>
        <w:pStyle w:val="BodyText"/>
      </w:pPr>
      <w:r>
        <w:rPr>
          <w:b/>
        </w:rPr>
        <w:t xml:space="preserve">AVC 100 redesign (complete, my student-success showcase).</w:t>
      </w:r>
      <w:r>
        <w:t xml:space="preserve"> </w:t>
      </w:r>
      <w:r>
        <w:t xml:space="preserve">The central student-success and retention work this cycle is the AVC 100 Introduction to Digital Arts redesign, a year-and-a-half effort that grew out of conversations Brian Gerber, Casey Farina, and I began well before it was formally commissioned, from a shared belief that full-time faculty should be continually redeveloping our courses. I did most of the build; Brian Gerber helped a fair amount and built the animation module; and Casey Farina, as our program director, is contributing a video that welcomes students to our programs. The redesign is finished and I am piloting it with students this summer.</w:t>
      </w:r>
    </w:p>
    <w:p>
      <w:pPr>
        <w:pStyle w:val="BodyText"/>
      </w:pPr>
      <w:r>
        <w:t xml:space="preserve">Why this course, and why now. AVC 100 is the one course every one of our intro students takes, including students who are not in our program, and most sections are online. It is also only one credit, which has quietly shaped its history: it is hard to staff, because it is difficult to get adjunct faculty to take a one-credit course and nearly impossible to get someone to come to campus to teach one, so the course has often gone to whoever was available and has not had real development invested in it in about ten years. The trigger for the redesign was the data. When we looked at success rates, AVC 100 was our least successful course, which is hard to believe for one of our easiest, ground-level courses. Part of the reason was that we had been cramming a lot of software into a one-credit class, making a low-stakes introduction feel technical and overwhelming.</w:t>
      </w:r>
    </w:p>
    <w:p>
      <w:pPr>
        <w:pStyle w:val="BodyText"/>
      </w:pPr>
      <w:r>
        <w:t xml:space="preserve">The redesign answers that directly, and it is grounded in the evidence that when students feel connected and supported they persist. First, I wove student support into the course itself: short videos and modules that show students the help that exists on campus, introductions to the full-time faculty and program directors, and clear guidance on where to get help, so support is part of the class, not separate from it. The student-success videos were scripted by me and Jeannie Berg and produced by Bryan Dubon, an hourly employee whose video production was funded by Dean Susan Campbell, such as</w:t>
      </w:r>
      <w:r>
        <w:t xml:space="preserve"> </w:t>
      </w:r>
      <w:hyperlink r:id="rId26">
        <w:r>
          <w:rPr>
            <w:rStyle w:val="Hyperlink"/>
          </w:rPr>
          <w:t xml:space="preserve">GCC Cares</w:t>
        </w:r>
      </w:hyperlink>
      <w:r>
        <w:t xml:space="preserve"> </w:t>
      </w:r>
      <w:r>
        <w:t xml:space="preserve">and</w:t>
      </w:r>
      <w:r>
        <w:t xml:space="preserve"> </w:t>
      </w:r>
      <w:hyperlink r:id="rId27">
        <w:r>
          <w:rPr>
            <w:rStyle w:val="Hyperlink"/>
          </w:rPr>
          <w:t xml:space="preserve">Advising</w:t>
        </w:r>
      </w:hyperlink>
      <w:r>
        <w:t xml:space="preserve">. Second, because it is Introduction to Digital Arts, I use the course to introduce our programs, including a welcome video from our program director, Casey Farina, and to show real work industry professionals are doing, so students can see what a degree in one of our areas can lead to. Third, instead of many disconnected software assignments, the course now carries one clearly scaffolded project on a single subject across three pieces, a branded poster, postcard, and social media animation, with design vocabulary and the principles of design scaffolded throughout. The point is not to drill software but to get students into the software making something real, learning the workflow, and walking away with an easy-win, showcase-ready end product. For many students this is the first real introduction to college they have ever had, so keeping it less technical and more about learning the programs while making real work is the heart of the bet. Brian and I both teach the course in the fall, where we will measure the change in success rate against the data that motivated the rebuild.</w:t>
      </w:r>
    </w:p>
    <w:p>
      <w:pPr>
        <w:pStyle w:val="BodyText"/>
      </w:pPr>
      <w:r>
        <w:rPr>
          <w:b/>
        </w:rPr>
        <w:t xml:space="preserve">Stackable microcredential certificates (Animation and DMA), developed and submitted to Instructional Council this cycle.</w:t>
      </w:r>
      <w:r>
        <w:t xml:space="preserve"> </w:t>
      </w:r>
      <w:r>
        <w:t xml:space="preserve">I developed scaffolded, stackable microcredential blocks for the Animation and Digital Media Arts credentials, each kept under the 15-credit cap, so students coming in from very different starting points (career-changers, first-time students, and high schoolers) can each earn a meaningful credential early and see a clear path forward. Each block is designed to count toward either the Animation and Time-Based Media AAS or the Digital Media Arts AAS, so nothing a student earns is wasted if they keep going. Status: I developed the Animation and DMA stackable microcredentials and have submitted them to the Instructional Council. They are not approved yet; the requests are in process with the IC, with implementation targeted for 2027 to 2028 if they move through. The structure document is at canvas/stackable_certificates.pdf.</w:t>
      </w:r>
    </w:p>
    <w:p>
      <w:pPr>
        <w:pStyle w:val="BodyText"/>
      </w:pPr>
      <w:r>
        <w:rPr>
          <w:b/>
        </w:rPr>
        <w:t xml:space="preserve">Graphic design sequence revision (retired AVC 181/182, adopted AVC 183/283).</w:t>
      </w:r>
      <w:r>
        <w:t xml:space="preserve"> </w:t>
      </w:r>
      <w:r>
        <w:t xml:space="preserve">I revised the Digital Media Arts curriculum to retire AVC 181 Graphic Design I and AVC 182 Graphic Design II, the courses I had long taught, and adopt the district’s newer shared courses, AVC 183 Digital Graphic Design I and AVC 283 Digital Graphic Design II, which were introduced district-wide while I was off Instructional Council. Because these courses are shared across Graphic Design and several other majors throughout the district, adopting them lets our program draw</w:t>
      </w:r>
      <w:r>
        <w:t xml:space="preserve"> </w:t>
      </w:r>
      <w:r>
        <w:t xml:space="preserve">“</w:t>
      </w:r>
      <w:r>
        <w:t xml:space="preserve">swirling</w:t>
      </w:r>
      <w:r>
        <w:t xml:space="preserve">”</w:t>
      </w:r>
      <w:r>
        <w:t xml:space="preserve"> </w:t>
      </w:r>
      <w:r>
        <w:t xml:space="preserve">students from other majors, which matters especially since both courses are online. The competencies are very similar to the courses they replace, so nothing essential is lost. The change also fixes a persistent enrollment problem: we struggled to fill Graphic Design II as AVC 182 when we ran it every semester. Now AVC 183 is on the schedule for all sections and is nearly full, both courses run in spring, and AVC 283 is offered once a year rather than every semester, which concentrates demand so the course fills.</w:t>
      </w:r>
    </w:p>
    <w:p>
      <w:pPr>
        <w:pStyle w:val="BodyText"/>
      </w:pPr>
      <w:r>
        <w:rPr>
          <w:b/>
        </w:rPr>
        <w:t xml:space="preserve">New UX Design course.</w:t>
      </w:r>
      <w:r>
        <w:t xml:space="preserve"> </w:t>
      </w:r>
      <w:r>
        <w:t xml:space="preserve">I developed a new UX Design course for the Digital Media Arts curriculum as an either/or option with AVC 283, with the potential to replace it as the program evolves, building it to fill the gap between our graphic design sequence and the interaction-design work the creative workforce now expects. It is currently in the approval process: I am moving it through the curriculum committee and Instructional Council. This is in process, not approved yet, but the course is designed and the proposal is in the pipeline.</w:t>
      </w:r>
    </w:p>
    <w:p>
      <w:pPr>
        <w:pStyle w:val="BodyText"/>
      </w:pPr>
      <w:r>
        <w:rPr>
          <w:b/>
        </w:rPr>
        <w:t xml:space="preserve">Rough Cut feeder-school outreach (program development, built; launches August).</w:t>
      </w:r>
      <w:r>
        <w:t xml:space="preserve"> </w:t>
      </w:r>
      <w:r>
        <w:t xml:space="preserve">As program development aimed at enrollment and the health of our programs, I built Rough Cut, a recruitment and relationship system to reach feeder-school students before private and for-profit colleges commit them. Using AI I built a research and contact spreadsheet of 36-plus regional feeder high schools across 8 districts, targeting the contacts who reach creative students (art teachers, yearbook advisors, CTE coordinators, counselors), plus a semester newsletter and a visit-form-to-Sheet inquiry pipeline. The background build and contact list are complete; the first issue is intentionally held for August, when I meet with colleagues Jeannie and Casey and the Agua Fria district CTE Director to finalize distribution to high school CTE teachers. The rationale is student access and affordability: students often commit to costlier institutions before they learn about the community-college pathway and the option to transfer afterward.</w:t>
      </w:r>
      <w:r>
        <w:t xml:space="preserve"> </w:t>
      </w:r>
      <w:r>
        <w:rPr>
          <w:i/>
        </w:rPr>
        <w:t xml:space="preserve">(Newsletter:</w:t>
      </w:r>
      <w:r>
        <w:rPr>
          <w:i/>
        </w:rPr>
        <w:t xml:space="preserve"> </w:t>
      </w:r>
      <w:hyperlink r:id="rId49">
        <w:r>
          <w:rPr>
            <w:rStyle w:val="Hyperlink"/>
            <w:i/>
          </w:rPr>
          <w:t xml:space="preserve">singletrackmom.github.io/newsletter</w:t>
        </w:r>
      </w:hyperlink>
      <w:r>
        <w:rPr>
          <w:i/>
        </w:rPr>
        <w:t xml:space="preserve"> </w:t>
      </w:r>
      <w:r>
        <w:rPr>
          <w:i/>
        </w:rPr>
        <w:t xml:space="preserve">· the AI-built outreach contact list we will email is in</w:t>
      </w:r>
      <w:r>
        <w:rPr>
          <w:i/>
        </w:rPr>
        <w:t xml:space="preserve"> </w:t>
      </w:r>
      <w:hyperlink r:id="rId50">
        <w:r>
          <w:rPr>
            <w:rStyle w:val="Hyperlink"/>
            <w:i/>
          </w:rPr>
          <w:t xml:space="preserve">this spreadsheet</w:t>
        </w:r>
      </w:hyperlink>
      <w:r>
        <w:rPr>
          <w:i/>
        </w:rPr>
        <w:t xml:space="preserve">.)</w:t>
      </w:r>
    </w:p>
    <w:p>
      <w:pPr>
        <w:pStyle w:val="BodyText"/>
      </w:pPr>
      <w:r>
        <w:rPr>
          <w:b/>
        </w:rPr>
        <w:t xml:space="preserve">AVC 248 capstone redesign (my AI showcase) and the assessment backbone.</w:t>
      </w:r>
      <w:r>
        <w:t xml:space="preserve"> </w:t>
      </w:r>
      <w:r>
        <w:t xml:space="preserve">This cycle I redesigned the AVC 248 Design Self Promotion capstone into an AI-powered course, and it is the clearest evidence of the AI fluency this FEP is about applied directly to a course. The redesign came from a real classroom observation: my students had always done the pieces of career launch, resumes, job research, contracts, and interview prep, but scattered across separate documents and discussion boards rather than in one place. When I let them experiment with AI on a few assignments, such as drafting a client contract or tailoring the resume they had written to a job they had researched, the results came back high-level but the students enjoyed the experience, and that is what led me to pull the whole course together into Render. In the redesigned course students learn applied AI literacy, use Render across the semester, and finish by building a portable career agent aligned to a real reach job they keep after the course. On status: the course is built and ready, but students have not used Render yet, and the Fall 2026 pilot will be the first time. New course development this cycle includes an AI-literacy unit up front, weekly slide decks, a guided goals builder, a Module 9</w:t>
      </w:r>
      <w:r>
        <w:t xml:space="preserve"> </w:t>
      </w:r>
      <w:r>
        <w:t xml:space="preserve">“</w:t>
      </w:r>
      <w:r>
        <w:t xml:space="preserve">Build Your Career Agent</w:t>
      </w:r>
      <w:r>
        <w:t xml:space="preserve">”</w:t>
      </w:r>
      <w:r>
        <w:t xml:space="preserve"> </w:t>
      </w:r>
      <w:r>
        <w:t xml:space="preserve">capstone, and example career agents I built from my Render personas. The pedagogy is connectivism in practice, and the design keeps student privacy by design, with no personally identifiable information going into the AI. On the assessment side, the course integrates the Render prototype, which is built around a formal career-launch skills taxonomy I authored. That taxonomy is the assessment backbone: every Render module maps to a defined competency, so the tool doubles as a way to track student progress against the capstone’s career-readiness outcomes. The Fall 2026 pilot is the planned test of the redesign.</w:t>
      </w:r>
    </w:p>
    <w:p>
      <w:pPr>
        <w:pStyle w:val="BodyText"/>
      </w:pPr>
      <w:r>
        <w:rPr>
          <w:b/>
        </w:rPr>
        <w:t xml:space="preserve">Reflection.</w:t>
      </w:r>
      <w:r>
        <w:t xml:space="preserve"> </w:t>
      </w:r>
      <w:r>
        <w:t xml:space="preserve">What I learned across this assessment and program-development work is that a program’s health depends as much on enrollment design and student support as on course content. Streamlining the graphic design sequence to the district-shared courses, building stackable on-ramps, and rebuilding our front-door course all came from reading the data on where students stall or never arrive, not from a content wish list. I am applying that in my program management by treating curriculum decisions as enrollment and equity decisions, and by designing courses and assessments (the new quizzes, the Render skills taxonomy) so a change is measurable and I can tell whether it worked. At the district level the same habit, assess and then revise against evidence, is what I bring to the ARC student-journey study. Where I am going next is to measure the AVC 100 redesign against its success-rate baseline this fall and let that result drive the next round of revision.</w:t>
      </w:r>
    </w:p>
    <w:p>
      <w:pPr>
        <w:pStyle w:val="Heading2"/>
      </w:pPr>
      <w:bookmarkStart w:id="51" w:name="Xef8881fffaee1945e1919348aed0c6777221c4e"/>
      <w:r>
        <w:t xml:space="preserve">Required Area · Governance and/or Committee Participation</w:t>
      </w:r>
      <w:bookmarkEnd w:id="51"/>
    </w:p>
    <w:p>
      <w:pPr>
        <w:pStyle w:val="FirstParagraph"/>
      </w:pPr>
      <w:r>
        <w:rPr>
          <w:b/>
        </w:rPr>
        <w:t xml:space="preserve">Maricopa District AI Resource Committee (the ARC), Co-Chair, Domain 5: Student Support and Success (2026–present).</w:t>
      </w:r>
    </w:p>
    <w:p>
      <w:pPr>
        <w:pStyle w:val="BodyText"/>
      </w:pPr>
      <w:r>
        <w:t xml:space="preserve">First, what the ARC is, because it is a substantial district resource the college should be tapping into. The ARC is Maricopa’s standing AI committee, and it is not a top-down body that tells the colleges what to do. It is a self-governing resource for the entire district, built to help all ten colleges lead in artificial intelligence rather than duplicate one another’s effort. It runs on a tri-chair model: Sonal Joshi, the district’s AI Director in the OIT/IT division, who came to Maricopa from a director role at Intel, with Gordon Inman (Rio Salado College) and Kaitlin Southerly (South Mountain Community College) as the two faculty tri-chairs on full-time district-office contracts. Beneath that leadership sit five domains, each run by co-chairs and collaborators with every college represented, so the work is truly cross-college rather than handed down: Strategy, Security and Governance; Teaching and Learning; Operational Efficiency and Employee Training; AI Credentials; and Student Support and Success. AI pilots are encouraged, the tri-chairs are there to help meet the real AI needs faculty and staff have, and a core purpose of the committee is to keep the ten campuses from reinventing the same wheel. The leadership meets every other week, even through the summer, and each domain meets every other week as well; information is shared openly and domains cross over where it helps, for example in building shared trainings. In short, it is a wealth of resources and brainpower already steering the district on AI, and any college AI effort would be stronger plugged into it.</w:t>
      </w:r>
      <w:r>
        <w:t xml:space="preserve"> </w:t>
      </w:r>
      <w:r>
        <w:rPr>
          <w:i/>
        </w:rPr>
        <w:t xml:space="preserve">(GCC already has strong representation across the ARC: beyond me as Student Support and Success co-chair, Jordan Beveridge, our CIO, and Drew Nichols, Cyber Lead, serve on Strategy, Security and Governance; Rachelle Hall, Faculty Chair, on Operational Efficiency and Employee Training; and Rodney Gemoll, Instructional Design Technologist, on Teaching and Learning. Five GCC colleagues are already at the table across four domains.)</w:t>
      </w:r>
    </w:p>
    <w:p>
      <w:pPr>
        <w:pStyle w:val="BodyText"/>
      </w:pPr>
      <w:r>
        <w:t xml:space="preserve">I co-chair Domain 5 with Ralph Thompson, Manager of CARE and Conduct at South Mountain Community College, charged with finding where AI can responsibly improve the non-classroom student services that drive retention and completion, across all 10 Maricopa colleges and roughly 140,000 students. The domain’s scope is the student journey outside the classroom: advising, counseling, financial aid, enrollment, registration, persistence, and student well-being. I co-chair this one domain; the whole ARC is led by the tri-chairs above.</w:t>
      </w:r>
    </w:p>
    <w:p>
      <w:pPr>
        <w:pStyle w:val="BodyText"/>
      </w:pPr>
      <w:r>
        <w:t xml:space="preserve">This is the largest service commitment of the cycle. Because most of the domain’s members cannot regularly attend meetings, I have designed the methodology and produced the deliverables the group builds on. The methodology runs in three phases:</w:t>
      </w:r>
    </w:p>
    <w:p>
      <w:pPr>
        <w:numPr>
          <w:ilvl w:val="0"/>
          <w:numId w:val="1005"/>
        </w:numPr>
        <w:pStyle w:val="Compact"/>
      </w:pPr>
      <w:r>
        <w:rPr>
          <w:b/>
        </w:rPr>
        <w:t xml:space="preserve">Phase one, map the landscape.</w:t>
      </w:r>
      <w:r>
        <w:t xml:space="preserve"> </w:t>
      </w:r>
      <w:r>
        <w:t xml:space="preserve">A service inventory and cross-college crosswalk that documents how the same student-facing function is named differently at each of the 10 colleges, paired with a usage baseline: how many of the roughly 140,000 students actually use each service, and how departments believe students find them versus how students really do.</w:t>
      </w:r>
    </w:p>
    <w:p>
      <w:pPr>
        <w:numPr>
          <w:ilvl w:val="0"/>
          <w:numId w:val="1005"/>
        </w:numPr>
        <w:pStyle w:val="Compact"/>
      </w:pPr>
      <w:r>
        <w:rPr>
          <w:b/>
        </w:rPr>
        <w:t xml:space="preserve">Phase two, study the journey.</w:t>
      </w:r>
      <w:r>
        <w:t xml:space="preserve"> </w:t>
      </w:r>
      <w:r>
        <w:t xml:space="preserve">Usability studies and staff workflow audits. Research personas walk the full student journey from application through graduation at all 10 colleges, capturing barriers and rating their severity. The study is built around real personas and a structured capture instrument.</w:t>
      </w:r>
    </w:p>
    <w:p>
      <w:pPr>
        <w:numPr>
          <w:ilvl w:val="0"/>
          <w:numId w:val="1005"/>
        </w:numPr>
        <w:pStyle w:val="Compact"/>
      </w:pPr>
      <w:r>
        <w:rPr>
          <w:b/>
        </w:rPr>
        <w:t xml:space="preserve">Phase three, build the roadmap.</w:t>
      </w:r>
      <w:r>
        <w:t xml:space="preserve"> </w:t>
      </w:r>
      <w:r>
        <w:t xml:space="preserve">Turn the documented barriers into a prioritized, human-in-the-loop AI roadmap, with pilots co-designed with the staff and students who would use them.</w:t>
      </w:r>
    </w:p>
    <w:p>
      <w:pPr>
        <w:pStyle w:val="FirstParagraph"/>
      </w:pPr>
      <w:r>
        <w:t xml:space="preserve">Two principles hold the work together. The first is data sovereignty: I prefer building tools that collect no personally identifiable information over buying ones that do. The district already declined a vendor AI add-on specifically because it would collect student data, which is why building no-data tools is the responsible default. The second is staff buy-in. The domain’s members are advisors, financial-aid staff, and other support staff, and the work has to make their jobs easier, not threaten them. Automation here takes routine, repetitive work off their plates, the easy factual questions and the</w:t>
      </w:r>
      <w:r>
        <w:t xml:space="preserve"> </w:t>
      </w:r>
      <w:r>
        <w:t xml:space="preserve">“</w:t>
      </w:r>
      <w:r>
        <w:t xml:space="preserve">we will get back to you in a few days</w:t>
      </w:r>
      <w:r>
        <w:t xml:space="preserve">”</w:t>
      </w:r>
      <w:r>
        <w:t xml:space="preserve"> </w:t>
      </w:r>
      <w:r>
        <w:t xml:space="preserve">booking email, so they can focus on the individual problems and the human connection that only a person can provide. No one is replaced.</w:t>
      </w:r>
    </w:p>
    <w:p>
      <w:pPr>
        <w:pStyle w:val="BodyText"/>
      </w:pPr>
      <w:r>
        <w:t xml:space="preserve">The rollout follows from the study. Once the UX work identifies where the barriers actually are, the domain prioritizes them into AI opportunities and pilots that roll out across the colleges, with anything outside AI’s scope routed to the right body. The study is in design and pilot stage; nothing is in production yet. The public case study lives at the airc-sss site.</w:t>
      </w:r>
    </w:p>
    <w:p>
      <w:pPr>
        <w:pStyle w:val="BodyText"/>
      </w:pPr>
      <w:r>
        <w:rPr>
          <w:b/>
        </w:rPr>
        <w:t xml:space="preserve">AI Community of Practice, GCC (launching Fall 2026).</w:t>
      </w:r>
      <w:r>
        <w:t xml:space="preserve"> </w:t>
      </w:r>
      <w:r>
        <w:t xml:space="preserve">I developed, in partnership with the Center for Teaching, Learning and Engagement, a monthly AI Community of Practice launching Fall 2026 with a kickoff during Accountability Week. It is open to any early adopter of AI on campus, faculty, staff, and administrators alike, not just faculty. Its goal is not to train people; it is a place for power users to share what is actually working with one another. Each session has a focused topic and a show-and-tell, and the intent is to surface the AI use already happening informally across campus and build shared knowledge. I expect we will collaborate on presenting some trainings through the CTLE, and support the campus technology committee (TAC), which has been assigned AI, but training is a likely byproduct rather than the purpose.</w:t>
      </w:r>
    </w:p>
    <w:p>
      <w:pPr>
        <w:pStyle w:val="BodyText"/>
      </w:pPr>
      <w:r>
        <w:rPr>
          <w:b/>
        </w:rPr>
        <w:t xml:space="preserve">Faculty AI Advisory Committee proposal (2026).</w:t>
      </w:r>
      <w:r>
        <w:t xml:space="preserve"> </w:t>
      </w:r>
      <w:r>
        <w:t xml:space="preserve">I authored a formal proposal, with supporting research, for a campus-wide faculty AI advisory committee, submitted through college governance. Although it was not adopted as a standalone committee, it is the origin of the district and CTLE work above, and the proposal document itself stands as evidence of early, structured thinking about faculty AI governance. I note it directly because the VP reviewing this FEP is the same person who received that original proposal.</w:t>
      </w:r>
      <w:r>
        <w:t xml:space="preserve"> </w:t>
      </w:r>
      <w:r>
        <w:rPr>
          <w:i/>
        </w:rPr>
        <w:t xml:space="preserve">(Proposal document:</w:t>
      </w:r>
      <w:r>
        <w:rPr>
          <w:i/>
        </w:rPr>
        <w:t xml:space="preserve"> </w:t>
      </w:r>
      <w:hyperlink r:id="rId52">
        <w:r>
          <w:rPr>
            <w:rStyle w:val="Hyperlink"/>
            <w:i/>
          </w:rPr>
          <w:t xml:space="preserve">view here</w:t>
        </w:r>
      </w:hyperlink>
      <w:r>
        <w:rPr>
          <w:i/>
        </w:rPr>
        <w:t xml:space="preserve">.)</w:t>
      </w:r>
    </w:p>
    <w:p>
      <w:pPr>
        <w:pStyle w:val="BodyText"/>
      </w:pPr>
      <w:r>
        <w:rPr>
          <w:b/>
        </w:rPr>
        <w:t xml:space="preserve">Curriculum work through governance.</w:t>
      </w:r>
      <w:r>
        <w:t xml:space="preserve"> </w:t>
      </w:r>
      <w:r>
        <w:t xml:space="preserve">I am moving a new UX Design course for the Digital Media Arts curriculum through the college’s curriculum approval process, the curriculum committee and Instructional Council. It is in process now, not yet approved. This is hands-on governance work: shepherding a course proposal through the bodies that review and approve curriculum changes.</w:t>
      </w:r>
    </w:p>
    <w:p>
      <w:pPr>
        <w:pStyle w:val="BodyText"/>
      </w:pPr>
      <w:r>
        <w:rPr>
          <w:b/>
        </w:rPr>
        <w:t xml:space="preserve">Official committee assignment.</w:t>
      </w:r>
      <w:r>
        <w:t xml:space="preserve"> </w:t>
      </w:r>
      <w:r>
        <w:t xml:space="preserve">Faculty are required to serve on one committee. My required assignment was</w:t>
      </w:r>
      <w:r>
        <w:t xml:space="preserve"> </w:t>
      </w:r>
      <w:r>
        <w:rPr>
          <w:b/>
        </w:rPr>
        <w:t xml:space="preserve">eCourses</w:t>
      </w:r>
      <w:r>
        <w:t xml:space="preserve"> </w:t>
      </w:r>
      <w:r>
        <w:t xml:space="preserve">(2024 and 2026); in 2025, when a department colleague took the eCourses seat, I served on the</w:t>
      </w:r>
      <w:r>
        <w:t xml:space="preserve"> </w:t>
      </w:r>
      <w:r>
        <w:rPr>
          <w:b/>
        </w:rPr>
        <w:t xml:space="preserve">Open Educational Resources (OER)</w:t>
      </w:r>
      <w:r>
        <w:t xml:space="preserve"> </w:t>
      </w:r>
      <w:r>
        <w:t xml:space="preserve">committee instead. At the January 2026 Convocation I received a</w:t>
      </w:r>
      <w:r>
        <w:t xml:space="preserve"> </w:t>
      </w:r>
      <w:r>
        <w:rPr>
          <w:b/>
        </w:rPr>
        <w:t xml:space="preserve">Gaucho Globe Award</w:t>
      </w:r>
      <w:r>
        <w:t xml:space="preserve"> </w:t>
      </w:r>
      <w:r>
        <w:t xml:space="preserve">for my OER contributions. Beyond that one required committee, I took on a significant amount of additional service this cycle, described below.</w:t>
      </w:r>
    </w:p>
    <w:p>
      <w:pPr>
        <w:pStyle w:val="BodyText"/>
      </w:pPr>
      <w:r>
        <w:rPr>
          <w:b/>
        </w:rPr>
        <w:t xml:space="preserve">Quality Matters and OSCQR peer course review (eCourses).</w:t>
      </w:r>
      <w:r>
        <w:t xml:space="preserve"> </w:t>
      </w:r>
      <w:r>
        <w:t xml:space="preserve">Through the eCourses committee I have served as a Quality Matters and OSCQR peer reviewer for many years, almost every year a review cycle ran, and often as lead reviewer, with a small stipend for the work. It is work I enjoy: a structured, collegial look at whether an online course is clear, accessible, and well designed for students. A concrete example from Spring 2024: as Team 4, I served as Instructional Designer and lead reviewer alongside reviewer Lisa Moore, reviewing HCR210 (taught by Melissa Williams). This year the new eCourses leadership did not call for a review cycle, so no reviews ran. Where I would like to see this work go is an expansion of the model to in-person courses, not only online ones. We scrutinize online courses closely, but face-to-face courses would benefit from the same structured review, including a look at whether active-learning and other classroom methods would strengthen them. It would also fill a real gap: faculty in their first five-year probationary period receive steady peer and supervisor feedback, but once they become residential faculty there is no standing way to ask to have a course or one’s teaching reviewed. I believe faculty would welcome that opportunity the way they already welcome having their online courses reviewed.</w:t>
      </w:r>
    </w:p>
    <w:p>
      <w:pPr>
        <w:pStyle w:val="BodyText"/>
      </w:pPr>
      <w:r>
        <w:rPr>
          <w:b/>
        </w:rPr>
        <w:t xml:space="preserve">Basic Needs Committee, GCC.</w:t>
      </w:r>
      <w:r>
        <w:t xml:space="preserve"> </w:t>
      </w:r>
      <w:r>
        <w:t xml:space="preserve">I serve on the GCC Basic Needs Committee, which is determining how the new building, the former bookstore, will be used and how its decor and brand will work. The committee’s problem was real, a new basic-needs space with no funded way to brand or decorate it, and I solved it by reaching across silos: I brought my Digital Media Arts students in to paint the murals and develop the brand, funded through an approved AmeriCorps internship I helped secure by working it out with Stacy Moreno. It is a clear win-win. The college gets professional creative work it could not otherwise pay for, and my students get real applied, paid, student-facing work tied directly to their program on an active campus initiative.</w:t>
      </w:r>
    </w:p>
    <w:p>
      <w:pPr>
        <w:pStyle w:val="BodyText"/>
      </w:pPr>
      <w:r>
        <w:rPr>
          <w:b/>
        </w:rPr>
        <w:t xml:space="preserve">Rough Cut, the Digital Media Arts newsletter and feeder-school outreach.</w:t>
      </w:r>
      <w:r>
        <w:t xml:space="preserve"> </w:t>
      </w:r>
      <w:r>
        <w:t xml:space="preserve">I built Rough Cut, a recruitment and relationship newsletter aimed at the feeder high schools that send us students. Using AI I built a large research and contact spreadsheet covering 36-plus feeder high schools across 8 districts, targeting the specific people who reach creative students (art teachers, yearbook advisors, CTE coordinators, and counselors), and I deliberately scoped the geography to our service region, excluding schools served by other colleges. The newsletter and the contact pipeline (a visit form that routes inquiries to dmarts@gccaz.edu) are built; the first issue is intentionally held for August, when I meet with colleagues Jeannie and Casey and the Agua Fria district CTE Director to finalize how we reach high school CTE teachers.</w:t>
      </w:r>
      <w:r>
        <w:t xml:space="preserve"> </w:t>
      </w:r>
      <w:r>
        <w:rPr>
          <w:i/>
        </w:rPr>
        <w:t xml:space="preserve">(Newsletter:</w:t>
      </w:r>
      <w:r>
        <w:rPr>
          <w:i/>
        </w:rPr>
        <w:t xml:space="preserve"> </w:t>
      </w:r>
      <w:hyperlink r:id="rId49">
        <w:r>
          <w:rPr>
            <w:rStyle w:val="Hyperlink"/>
            <w:i/>
          </w:rPr>
          <w:t xml:space="preserve">singletrackmom.github.io/newsletter</w:t>
        </w:r>
      </w:hyperlink>
      <w:r>
        <w:rPr>
          <w:i/>
        </w:rPr>
        <w:t xml:space="preserve"> </w:t>
      </w:r>
      <w:r>
        <w:rPr>
          <w:i/>
        </w:rPr>
        <w:t xml:space="preserve">·</w:t>
      </w:r>
      <w:r>
        <w:rPr>
          <w:i/>
        </w:rPr>
        <w:t xml:space="preserve"> </w:t>
      </w:r>
      <w:hyperlink r:id="rId50">
        <w:r>
          <w:rPr>
            <w:rStyle w:val="Hyperlink"/>
            <w:i/>
          </w:rPr>
          <w:t xml:space="preserve">outreach contact spreadsheet</w:t>
        </w:r>
      </w:hyperlink>
      <w:r>
        <w:rPr>
          <w:i/>
        </w:rPr>
        <w:t xml:space="preserve">.)</w:t>
      </w:r>
      <w:r>
        <w:t xml:space="preserve"> </w:t>
      </w:r>
      <w:r>
        <w:t xml:space="preserve">The purpose is student access and affordability: private and for-profit institutions recruit aggressively in area high schools, often before students learn about the more affordable community-college pathway, and Rough Cut builds the relationships that make sure students know they have a choice.</w:t>
      </w:r>
    </w:p>
    <w:p>
      <w:pPr>
        <w:pStyle w:val="BodyText"/>
      </w:pPr>
      <w:r>
        <w:rPr>
          <w:b/>
        </w:rPr>
        <w:t xml:space="preserve">The Traveler, faculty advisor.</w:t>
      </w:r>
      <w:r>
        <w:t xml:space="preserve"> </w:t>
      </w:r>
      <w:r>
        <w:t xml:space="preserve">I advise The Traveler, GCC’s annual student literary and arts publication, and have done so through Volumes 44 to 58, sixteen years. The department solicits submissions; the students judge the first cut, a community judge selects the final competition places, and the students edit, design, print, and launch the book, with me mentoring them through the full production cycle. It is described more fully in the Teaching section above, since it is experiential teaching and college service at once. The Traveler won the 2025 CMA Pinnacle Award for Literary Magazine of the Year.</w:t>
      </w:r>
    </w:p>
    <w:p>
      <w:pPr>
        <w:pStyle w:val="BodyText"/>
      </w:pPr>
      <w:r>
        <w:rPr>
          <w:b/>
        </w:rPr>
        <w:t xml:space="preserve">Service well beyond my required committee.</w:t>
      </w:r>
      <w:r>
        <w:t xml:space="preserve"> </w:t>
      </w:r>
      <w:r>
        <w:t xml:space="preserve">Although only one committee is required, this cycle I also carried substantial additional service: the</w:t>
      </w:r>
      <w:r>
        <w:t xml:space="preserve"> </w:t>
      </w:r>
      <w:r>
        <w:rPr>
          <w:b/>
        </w:rPr>
        <w:t xml:space="preserve">ARC Student Support and Success domain</w:t>
      </w:r>
      <w:r>
        <w:t xml:space="preserve"> </w:t>
      </w:r>
      <w:r>
        <w:t xml:space="preserve">as co-chair, a district effort that is not a formal campus committee assignment and is my single largest service commitment (described in detail above);</w:t>
      </w:r>
      <w:r>
        <w:t xml:space="preserve"> </w:t>
      </w:r>
      <w:r>
        <w:rPr>
          <w:b/>
        </w:rPr>
        <w:t xml:space="preserve">PARC</w:t>
      </w:r>
      <w:r>
        <w:t xml:space="preserve">, the faculty tenure committee, which reviews probationary faculty each year and makes renewal recommendations;</w:t>
      </w:r>
      <w:r>
        <w:t xml:space="preserve"> </w:t>
      </w:r>
      <w:r>
        <w:rPr>
          <w:b/>
        </w:rPr>
        <w:t xml:space="preserve">alternate faculty representative to Instructional Council</w:t>
      </w:r>
      <w:r>
        <w:t xml:space="preserve">, where I also shepherd curriculum proposals; and service as an</w:t>
      </w:r>
      <w:r>
        <w:t xml:space="preserve"> </w:t>
      </w:r>
      <w:r>
        <w:rPr>
          <w:b/>
        </w:rPr>
        <w:t xml:space="preserve">eCourses lead reviewer</w:t>
      </w:r>
      <w:r>
        <w:t xml:space="preserve"> </w:t>
      </w:r>
      <w:r>
        <w:t xml:space="preserve">(Quality Matters and OLC/OSCQR). I am also alternate faculty advisor for the GCC Art Club and have helped with its mural work. On the Math building mural, which Mitch Mantle led, I used my prior mural experience to get the design onto the wall and filled in for Mitch on the project a few times beyond that.</w:t>
      </w:r>
    </w:p>
    <w:p>
      <w:pPr>
        <w:pStyle w:val="BodyText"/>
      </w:pPr>
      <w:r>
        <w:rPr>
          <w:b/>
        </w:rPr>
        <w:t xml:space="preserve">Reflection.</w:t>
      </w:r>
      <w:r>
        <w:t xml:space="preserve"> </w:t>
      </w:r>
      <w:r>
        <w:t xml:space="preserve">What I learned from this service is that committees do their best work when someone turns talk into something concrete to react to, and that is the role I have tried to play, whether building the methodology for the Student Support and Success domain or bringing my students’ design work into the Basic Needs hub. I also learned the limits of volunteer committees whose members cannot always attend, and that doing the early build yourself is often how you keep a group moving and give it something real to shape. I am applying this in my program management by reaching across silos to connect academic work with student-services initiatives, and in my district work by building shared, no-PII methods that other colleges can actually adopt. Where I am going is to move the SSS study from findings to pilots, sustain the AI Community of Practice, and mentor faculty and staff in building their own agents, so the work outlasts any single committee term.</w:t>
      </w:r>
    </w:p>
    <w:p>
      <w:pPr>
        <w:pStyle w:val="Heading2"/>
      </w:pPr>
      <w:bookmarkStart w:id="53" w:name="elective-area-professional-development"/>
      <w:r>
        <w:t xml:space="preserve">Elective Area · Professional Development</w:t>
      </w:r>
      <w:bookmarkEnd w:id="53"/>
    </w:p>
    <w:p>
      <w:pPr>
        <w:pStyle w:val="FirstParagraph"/>
      </w:pPr>
      <w:r>
        <w:t xml:space="preserve">This cycle’s professional development started with a tool I built for myself. In January I decided to learn AI seriously, and the first thing I did was build</w:t>
      </w:r>
      <w:r>
        <w:t xml:space="preserve"> </w:t>
      </w:r>
      <w:r>
        <w:rPr>
          <w:b/>
        </w:rPr>
        <w:t xml:space="preserve">Cultivate</w:t>
      </w:r>
      <w:r>
        <w:t xml:space="preserve">, a personal learning environment where I put everything I had been saving into one organized, offline-first place: a multi-year PD plan, conference and career notes, and a curated news feed across AI in education, EdTech, student success, and UX. Cultivate was how I jumped in, one place to learn from, grounded in my 2017 graduate research on connectivism and personal learning environments.</w:t>
      </w:r>
      <w:r>
        <w:t xml:space="preserve"> </w:t>
      </w:r>
      <w:r>
        <w:rPr>
          <w:i/>
        </w:rPr>
        <w:t xml:space="preserve">(Live tool:</w:t>
      </w:r>
      <w:r>
        <w:rPr>
          <w:i/>
        </w:rPr>
        <w:t xml:space="preserve"> </w:t>
      </w:r>
      <w:hyperlink r:id="rId34">
        <w:r>
          <w:rPr>
            <w:rStyle w:val="Hyperlink"/>
            <w:i/>
          </w:rPr>
          <w:t xml:space="preserve">cultivate</w:t>
        </w:r>
      </w:hyperlink>
      <w:r>
        <w:rPr>
          <w:i/>
        </w:rPr>
        <w:t xml:space="preserve"> </w:t>
      </w:r>
      <w:r>
        <w:rPr>
          <w:i/>
        </w:rPr>
        <w:t xml:space="preserve">· PRD:</w:t>
      </w:r>
      <w:r>
        <w:rPr>
          <w:i/>
        </w:rPr>
        <w:t xml:space="preserve"> </w:t>
      </w:r>
      <w:hyperlink r:id="rId35">
        <w:r>
          <w:rPr>
            <w:rStyle w:val="Hyperlink"/>
            <w:i/>
          </w:rPr>
          <w:t xml:space="preserve">cultivate/prd.html</w:t>
        </w:r>
      </w:hyperlink>
      <w:r>
        <w:rPr>
          <w:i/>
        </w:rPr>
        <w:t xml:space="preserve">.)</w:t>
      </w:r>
    </w:p>
    <w:p>
      <w:pPr>
        <w:pStyle w:val="BodyText"/>
      </w:pPr>
      <w:r>
        <w:t xml:space="preserve">From there, this cycle’s professional development was a deliberate, concentrated investment in AI, chosen because my students need these skills for the workforce and I did not want to teach them secondhand. Completed coursework includes the League for Innovation AI Fellows cohort, the University of Michigan Generative AI as a Learning Design Partner specialization, the Anthropic Academy Teaching AI Fluency Foundations, Purdue University Prompt Engineering, and Google Generative AI Leader training. The informal, practice-situated side mattered just as much: daily use of AI as a working tool, wide reading in the field, and following current research through the curated feed I built into Cultivate. The evaluative stage the Canvas guidance describes is built in, this professional development is being directly tested by whether the tools it produced work in a real classroom in Fall 2026.</w:t>
      </w:r>
    </w:p>
    <w:p>
      <w:pPr>
        <w:pStyle w:val="BodyText"/>
      </w:pPr>
      <w:r>
        <w:t xml:space="preserve">I am also turning this work into scholarship. I authored a practitioner whitepaper,</w:t>
      </w:r>
      <w:r>
        <w:t xml:space="preserve"> </w:t>
      </w:r>
      <w:r>
        <w:t xml:space="preserve">“</w:t>
      </w:r>
      <w:r>
        <w:t xml:space="preserve">From Bookmarks to Agents: A Faculty Practitioner’s Account of Building AI-Powered Learning Tools at a Community College,</w:t>
      </w:r>
      <w:r>
        <w:t xml:space="preserve">”</w:t>
      </w:r>
      <w:r>
        <w:t xml:space="preserve"> </w:t>
      </w:r>
      <w:r>
        <w:t xml:space="preserve">a living document tracing the arc from Cultivate to Render to the agent-building work ahead, intended for a conference or journal once the pilot is complete.</w:t>
      </w:r>
    </w:p>
    <w:p>
      <w:pPr>
        <w:pStyle w:val="BodyText"/>
      </w:pPr>
      <w:r>
        <w:rPr>
          <w:b/>
        </w:rPr>
        <w:t xml:space="preserve">Reflection.</w:t>
      </w:r>
      <w:r>
        <w:t xml:space="preserve"> </w:t>
      </w:r>
      <w:r>
        <w:t xml:space="preserve">What I learned from this professional development is that I learn AI best by building with it, not only studying it, and that committing to a structured stretch of formal coursework alongside daily practice is what turned scattered curiosity into real fluency. I grew from a faculty member reading about AI into one who can teach it and build with it, and writing the whitepaper pushed me to reflect on my own decisions and the open questions of sustainability and equity. I am applying it directly: the AI literacy I earned is now a unit my students work through, prompt engineering is becoming part of my graphic design and capstone courses because it mirrors what the workforce asks for, and the habit of tending my own learning environment (Cultivate) is the model I now bring to faculty development. Where I am going is to keep the practice current and share it, through the Community of Practice and the whitepaper, rather than treat the certificates as a finish line.</w:t>
      </w:r>
    </w:p>
    <w:p>
      <w:pPr>
        <w:pStyle w:val="Heading2"/>
      </w:pPr>
      <w:bookmarkStart w:id="54" w:name="elective-area-acquisition-of-new-skills"/>
      <w:r>
        <w:t xml:space="preserve">Elective Area · Acquisition of New Skills</w:t>
      </w:r>
      <w:bookmarkEnd w:id="54"/>
    </w:p>
    <w:p>
      <w:pPr>
        <w:pStyle w:val="FirstParagraph"/>
      </w:pPr>
      <w:r>
        <w:t xml:space="preserve">The defining new skill of this cycle is using AI as a working partner to build things I could not build before. I came into this cycle as a graphic designer and instructional designer, not a programmer or a data person. Two pieces of work show the skill clearly.</w:t>
      </w:r>
    </w:p>
    <w:p>
      <w:pPr>
        <w:pStyle w:val="BodyText"/>
      </w:pPr>
      <w:r>
        <w:t xml:space="preserve">The first is building small functional applications. Using AI as a coding partner, I learned to move from describing what I wanted to producing working prototypes. Render, CopaMigo, and Cultivate are built in HTML, CSS, and JavaScript with AI assistance, all of them prototypes. This is a genuine extension of my design background into building. It benefits my students because it is what lets the capstone offer a real AI-supported tool, and it benefits my teaching, because I can show students what AI-assisted building actually looks like rather than describe it. The clearest place this new skill landed in my teaching is the AVC 248 redesign: the AI literacy I built for myself is now an AI-literacy unit my students work through, and the Module 9</w:t>
      </w:r>
      <w:r>
        <w:t xml:space="preserve"> </w:t>
      </w:r>
      <w:r>
        <w:t xml:space="preserve">“</w:t>
      </w:r>
      <w:r>
        <w:t xml:space="preserve">Build Your Career Agent</w:t>
      </w:r>
      <w:r>
        <w:t xml:space="preserve">”</w:t>
      </w:r>
      <w:r>
        <w:t xml:space="preserve"> </w:t>
      </w:r>
      <w:r>
        <w:t xml:space="preserve">capstone asks them to do, at their level, the same kind of building I taught myself to do, designing a portable career agent they keep and iterate. Teaching the skill I just learned, by modeling it rather than describing it, is the most honest version of this elective I can point to.</w:t>
      </w:r>
    </w:p>
    <w:p>
      <w:pPr>
        <w:pStyle w:val="BodyText"/>
      </w:pPr>
      <w:r>
        <w:t xml:space="preserve">The second is the data work behind Rough Cut, the Digital Media Arts newsletter (described in the Service section below). I needed a real distribution list for the program’s audience, and I used AI to build and clean a large contact and distribution spreadsheet from scattered sources, work I would not have attempted on my own before. That is applied AI data work, not a coding exercise, and it directly supports a piece of program communication that goes out to our actual audience. Both pieces are the same lesson: the most honest way I could learn AI was by using it to make real things my students and program could use.</w:t>
      </w:r>
    </w:p>
    <w:p>
      <w:pPr>
        <w:pStyle w:val="BodyText"/>
      </w:pPr>
      <w:r>
        <w:t xml:space="preserve">The third is agentic AI: building assistants that watch, decide, and act on their own rather than answer one question in a chat window. To learn this, I built and now run a suite of roughly ten scheduled agents as deliberate practice (for myself and for family members), each with its own reusable Markdown instructions so the practice compounds instead of starting from scratch. The point is not what any one personal agent does; it is that the volume and variety taught me the patterns of scheduling, autonomy, and human-in-the-loop control. This skill serves three purposes. It prepares me to teach these skills to students, since the workforce increasingly expects them. It directly supports my district committee service: one of the ARC Student Support and Success initiatives is to train student-services personnel, and at least one of those trainings will be on building agents, so I need real fluency to help lead it. And it makes me more productive and organized as a faculty member. I will share what I have learned with the AI Community of Practice I am launching through the Center for Teaching, Learning and Engagement, beginning with a share-out during Accountability Week this fall.</w:t>
      </w:r>
    </w:p>
    <w:p>
      <w:pPr>
        <w:pStyle w:val="BodyText"/>
      </w:pPr>
      <w:r>
        <w:rPr>
          <w:b/>
        </w:rPr>
        <w:t xml:space="preserve">Reflection.</w:t>
      </w:r>
      <w:r>
        <w:t xml:space="preserve"> </w:t>
      </w:r>
      <w:r>
        <w:t xml:space="preserve">What I learned acquiring these skills is that my design and instructional-design background extends much further into building than I expected, and that the most honest way to teach a new skill is to have just done it myself. I grew from a designer who used software into a faculty member who builds software and agents to solve real problems. I am applying it across my work: in teaching, students will build alongside me in the AVC 248 capstone (first piloting this fall); in program management, I can prototype tools like Render and CopaMigo that serve our students directly; and in my district work, this fluency is what lets me lead, and soon mentor others in, building agentic tools that take routine load off staff. Where I am going is to turn my own practice into something colleagues can do, starting with the Community of Practice and the planned student-services agent training.</w:t>
      </w:r>
    </w:p>
    <w:p>
      <w:r>
        <w:pict>
          <v:rect style="width:0;height:1.5pt" o:hralign="center" o:hrstd="t" o:hr="t"/>
        </w:pict>
      </w:r>
    </w:p>
    <w:p>
      <w:pPr>
        <w:pStyle w:val="Heading2"/>
      </w:pPr>
      <w:bookmarkStart w:id="55" w:name="appendix-professional-growth-log"/>
      <w:r>
        <w:t xml:space="preserve">Appendix · Professional Growth Log</w:t>
      </w:r>
      <w:bookmarkEnd w:id="55"/>
    </w:p>
    <w:p>
      <w:pPr>
        <w:pStyle w:val="Heading3"/>
      </w:pPr>
      <w:bookmarkStart w:id="56" w:name="professional-growth-reflection"/>
      <w:r>
        <w:t xml:space="preserve">Professional Growth Reflection</w:t>
      </w:r>
      <w:bookmarkEnd w:id="56"/>
    </w:p>
    <w:p>
      <w:pPr>
        <w:pStyle w:val="FirstParagraph"/>
      </w:pPr>
      <w:r>
        <w:t xml:space="preserve">This cycle holds a lot of learning, and it has a single spine. In early 2026 I made a deliberate decision to learn AI seriously, and I chose to learn it the way I learn best, by building real things and using them every day rather than studying from a distance. I did not want to teach a workforce skill I had not earned myself, and that decision pulled the rest of my professional growth along with it.</w:t>
      </w:r>
    </w:p>
    <w:p>
      <w:pPr>
        <w:pStyle w:val="BodyText"/>
      </w:pPr>
      <w:r>
        <w:t xml:space="preserve">The formal side was substantial: the League for Innovation AI Fellows cohort, the University of Michigan Generative AI as a Learning Design Partner specialization, Anthropic Academy’s Teaching AI Fluency Foundations, Purdue’s Prompt Engineering microcredential, Google’s Generative AI Leader and AI Essentials, EDUCAUSE’s AI for Instructional Design microcredential, and CU Boulder’s AI for Course Design, alongside a steady diet of webinars and talks from EDUCAUSE, Stanford, EAB, and others to stay current. But the coursework was only half of it. The real learning happened in practice, building Cultivate, Render, CopaMigo, and a suite of agents with AI as a co-developer. What I learned is that my design and instructional-design background reaches much further into building than I expected, and that learning by doing is the most honest way to teach tools my students will actually be asked to use.</w:t>
      </w:r>
    </w:p>
    <w:p>
      <w:pPr>
        <w:pStyle w:val="BodyText"/>
      </w:pPr>
      <w:r>
        <w:t xml:space="preserve">At the same time I kept sharpening the craft of online teaching, which is where most of my Center for Teaching, Learning and Engagement work lives: regular and substantive interaction, accessibility (alt text, captions, Yuja Panorama), engagement strategies, rubric design, and feedback. That work is not separate from the AI work; it is the same goal from another angle. Strengthening presence and feedback in an online studio is exactly what pushed me to rethink how I critique and grade, and it is why my AI tools aim to free time for the timely, human feedback students tell me matters most.</w:t>
      </w:r>
    </w:p>
    <w:p>
      <w:pPr>
        <w:pStyle w:val="BodyText"/>
      </w:pPr>
      <w:r>
        <w:t xml:space="preserve">My reading tied it together and kept it human. Joseph Aoun’s</w:t>
      </w:r>
      <w:r>
        <w:t xml:space="preserve"> </w:t>
      </w:r>
      <w:r>
        <w:t xml:space="preserve">“</w:t>
      </w:r>
      <w:r>
        <w:t xml:space="preserve">Robot-Proof</w:t>
      </w:r>
      <w:r>
        <w:t xml:space="preserve">”</w:t>
      </w:r>
      <w:r>
        <w:t xml:space="preserve"> </w:t>
      </w:r>
      <w:r>
        <w:t xml:space="preserve">sharpened why I teach what I teach, the durable human skills AI cannot replace. Steve Krug’s</w:t>
      </w:r>
      <w:r>
        <w:t xml:space="preserve"> </w:t>
      </w:r>
      <w:r>
        <w:t xml:space="preserve">“</w:t>
      </w:r>
      <w:r>
        <w:t xml:space="preserve">Don’t Make Me Think</w:t>
      </w:r>
      <w:r>
        <w:t xml:space="preserve">”</w:t>
      </w:r>
      <w:r>
        <w:t xml:space="preserve"> </w:t>
      </w:r>
      <w:r>
        <w:t xml:space="preserve">and Shedroff and Noessel’s</w:t>
      </w:r>
      <w:r>
        <w:t xml:space="preserve"> </w:t>
      </w:r>
      <w:r>
        <w:t xml:space="preserve">“</w:t>
      </w:r>
      <w:r>
        <w:t xml:space="preserve">Make It So</w:t>
      </w:r>
      <w:r>
        <w:t xml:space="preserve">”</w:t>
      </w:r>
      <w:r>
        <w:t xml:space="preserve"> </w:t>
      </w:r>
      <w:r>
        <w:t xml:space="preserve">shaped the usability and interaction design of the tools I built and the new UX course I am proposing. Anna Lembke’s</w:t>
      </w:r>
      <w:r>
        <w:t xml:space="preserve"> </w:t>
      </w:r>
      <w:r>
        <w:t xml:space="preserve">“</w:t>
      </w:r>
      <w:r>
        <w:t xml:space="preserve">Dopamine Nation</w:t>
      </w:r>
      <w:r>
        <w:t xml:space="preserve">”</w:t>
      </w:r>
      <w:r>
        <w:t xml:space="preserve"> </w:t>
      </w:r>
      <w:r>
        <w:t xml:space="preserve">gave me the behavioral-design insight behind Cultivate, replacing a doom-scroll habit with something intentional, and it informs how I think about student attention. Jeanette Winterson’s</w:t>
      </w:r>
      <w:r>
        <w:t xml:space="preserve"> </w:t>
      </w:r>
      <w:r>
        <w:t xml:space="preserve">“</w:t>
      </w:r>
      <w:r>
        <w:t xml:space="preserve">12 Bytes</w:t>
      </w:r>
      <w:r>
        <w:t xml:space="preserve">”</w:t>
      </w:r>
      <w:r>
        <w:t xml:space="preserve"> </w:t>
      </w:r>
      <w:r>
        <w:t xml:space="preserve">kept the ethical, humanistic lens on all of it. Underneath everything sits connectivism, from my 2017 graduate research: learning as a network you build and tend, with AI as scaffolding, never a replacement for the thinking.</w:t>
      </w:r>
    </w:p>
    <w:p>
      <w:pPr>
        <w:pStyle w:val="BodyText"/>
      </w:pPr>
      <w:r>
        <w:t xml:space="preserve">How I grew is simple to say and took real work to earn. I came into this cycle a designer and instructional designer, and I am leaving it someone who builds AI tools and agents, helps lead on AI at the college and district, and can teach others to do the same. I am applying it across my work: in the AVC 248 capstone and the AVC 100 redesign, in the new UX course, in the district Student Support and Success study, and soon in the AI Community of Practice and in mentoring student-services staff to build their own agents. Where I am going is to keep this a living practice rather than a finished project, and to keep sharing it so the learning multiplies beyond me. Through all of it, my priority is student success. Learning AI, and helping colleagues and students do their work and their schooling better with it, matters to me because it serves that end: students who feel supported, stay enrolled, and finish.</w:t>
      </w:r>
    </w:p>
    <w:p>
      <w:pPr>
        <w:pStyle w:val="Heading3"/>
      </w:pPr>
      <w:bookmarkStart w:id="57" w:name="what-i-completed-this-cycle"/>
      <w:r>
        <w:t xml:space="preserve">What I Completed This Cycle</w:t>
      </w:r>
      <w:bookmarkEnd w:id="57"/>
    </w:p>
    <w:p>
      <w:pPr>
        <w:pStyle w:val="FirstParagraph"/>
      </w:pPr>
      <w:r>
        <w:rPr>
          <w:b/>
        </w:rPr>
        <w:t xml:space="preserve">AI and Generative-AI Learning</w:t>
      </w:r>
      <w:r>
        <w:t xml:space="preserve"> </w:t>
      </w:r>
      <w:r>
        <w:t xml:space="preserve">- League for Innovation AI Fellows cohort (eight-week)</w:t>
      </w:r>
      <w:r>
        <w:t xml:space="preserve"> </w:t>
      </w:r>
      <w:r>
        <w:t xml:space="preserve">- University of Michigan, Generative AI as a Learning Design Partner specialization (Coursera)</w:t>
      </w:r>
      <w:r>
        <w:t xml:space="preserve"> </w:t>
      </w:r>
      <w:r>
        <w:t xml:space="preserve">- Anthropic Academy, Teaching AI Fluency Foundations</w:t>
      </w:r>
      <w:r>
        <w:t xml:space="preserve"> </w:t>
      </w:r>
      <w:r>
        <w:t xml:space="preserve">- Purdue University, Prompt Engineering microcredential (2/2025)</w:t>
      </w:r>
      <w:r>
        <w:t xml:space="preserve"> </w:t>
      </w:r>
      <w:r>
        <w:t xml:space="preserve">- Google Generative AI Leader</w:t>
      </w:r>
      <w:r>
        <w:t xml:space="preserve"> </w:t>
      </w:r>
      <w:r>
        <w:t xml:space="preserve">- Google Generative AI for Educators</w:t>
      </w:r>
      <w:r>
        <w:t xml:space="preserve"> </w:t>
      </w:r>
      <w:r>
        <w:t xml:space="preserve">- Google AI Essentials Certificate (Coursera)</w:t>
      </w:r>
      <w:r>
        <w:t xml:space="preserve"> </w:t>
      </w:r>
      <w:r>
        <w:t xml:space="preserve">- EDUCAUSE AI for Instructional Design microcredential (June 2026)</w:t>
      </w:r>
      <w:r>
        <w:t xml:space="preserve"> </w:t>
      </w:r>
      <w:r>
        <w:t xml:space="preserve">- AI for Course Design, CU Boulder (Coursera; in progress)</w:t>
      </w:r>
      <w:r>
        <w:t xml:space="preserve"> </w:t>
      </w:r>
      <w:r>
        <w:t xml:space="preserve">- League AI Hub,</w:t>
      </w:r>
      <w:r>
        <w:t xml:space="preserve"> </w:t>
      </w:r>
      <w:r>
        <w:t xml:space="preserve">“</w:t>
      </w:r>
      <w:r>
        <w:t xml:space="preserve">From Notes to Insights: Using Notebook LM</w:t>
      </w:r>
      <w:r>
        <w:t xml:space="preserve">”</w:t>
      </w:r>
      <w:r>
        <w:t xml:space="preserve"> </w:t>
      </w:r>
      <w:r>
        <w:t xml:space="preserve">(3/2026)</w:t>
      </w:r>
      <w:r>
        <w:t xml:space="preserve"> </w:t>
      </w:r>
      <w:r>
        <w:t xml:space="preserve">- League AI Hub,</w:t>
      </w:r>
      <w:r>
        <w:t xml:space="preserve"> </w:t>
      </w:r>
      <w:r>
        <w:t xml:space="preserve">“</w:t>
      </w:r>
      <w:r>
        <w:t xml:space="preserve">Making AI Work for You: Custom Instructions and Beyond</w:t>
      </w:r>
      <w:r>
        <w:t xml:space="preserve">”</w:t>
      </w:r>
      <w:r>
        <w:t xml:space="preserve"> </w:t>
      </w:r>
      <w:r>
        <w:t xml:space="preserve">(4/2026)</w:t>
      </w:r>
      <w:r>
        <w:t xml:space="preserve"> </w:t>
      </w:r>
      <w:r>
        <w:t xml:space="preserve">- Using GPTZero for Responsible AI Teaching, CTLE (2/2026)</w:t>
      </w:r>
      <w:r>
        <w:t xml:space="preserve"> </w:t>
      </w:r>
      <w:r>
        <w:t xml:space="preserve">- AI for Workflow Round Table Discussion, CTLE (2/2026)</w:t>
      </w:r>
      <w:r>
        <w:t xml:space="preserve"> </w:t>
      </w:r>
      <w:r>
        <w:t xml:space="preserve">- Academic Integrity in the Era of AI (8/2023)</w:t>
      </w:r>
      <w:r>
        <w:t xml:space="preserve"> </w:t>
      </w:r>
      <w:r>
        <w:t xml:space="preserve">- AFIT Higher Ed AI Community of Practice,</w:t>
      </w:r>
      <w:r>
        <w:t xml:space="preserve"> </w:t>
      </w:r>
      <w:r>
        <w:t xml:space="preserve">“</w:t>
      </w:r>
      <w:r>
        <w:t xml:space="preserve">Agentic AI: Where Autonomy Helps (and Hurts)</w:t>
      </w:r>
      <w:r>
        <w:t xml:space="preserve">”</w:t>
      </w:r>
      <w:r>
        <w:t xml:space="preserve"> </w:t>
      </w:r>
      <w:r>
        <w:t xml:space="preserve">(4/2026)</w:t>
      </w:r>
      <w:r>
        <w:t xml:space="preserve"> </w:t>
      </w:r>
      <w:r>
        <w:t xml:space="preserve">- AFIT Higher Ed AI Community of Practice,</w:t>
      </w:r>
      <w:r>
        <w:t xml:space="preserve"> </w:t>
      </w:r>
      <w:r>
        <w:t xml:space="preserve">“</w:t>
      </w:r>
      <w:r>
        <w:t xml:space="preserve">Recruitment to Retention: Using AI Without Losing Trust</w:t>
      </w:r>
      <w:r>
        <w:t xml:space="preserve">”</w:t>
      </w:r>
      <w:r>
        <w:t xml:space="preserve"> </w:t>
      </w:r>
      <w:r>
        <w:t xml:space="preserve">(6/2026)</w:t>
      </w:r>
      <w:r>
        <w:t xml:space="preserve"> </w:t>
      </w:r>
      <w:r>
        <w:t xml:space="preserve">- The Chronicle of Higher Education,</w:t>
      </w:r>
      <w:r>
        <w:t xml:space="preserve"> </w:t>
      </w:r>
      <w:r>
        <w:t xml:space="preserve">“</w:t>
      </w:r>
      <w:r>
        <w:t xml:space="preserve">The Next Evolution of Proactive Advising</w:t>
      </w:r>
      <w:r>
        <w:t xml:space="preserve">”</w:t>
      </w:r>
      <w:r>
        <w:t xml:space="preserve"> </w:t>
      </w:r>
      <w:r>
        <w:t xml:space="preserve">(4/2026)</w:t>
      </w:r>
      <w:r>
        <w:t xml:space="preserve"> </w:t>
      </w:r>
      <w:r>
        <w:t xml:space="preserve">- Microsoft,</w:t>
      </w:r>
      <w:r>
        <w:t xml:space="preserve"> </w:t>
      </w:r>
      <w:r>
        <w:t xml:space="preserve">“</w:t>
      </w:r>
      <w:r>
        <w:t xml:space="preserve">AI in Business: A Faculty Primer for Community College</w:t>
      </w:r>
      <w:r>
        <w:t xml:space="preserve">”</w:t>
      </w:r>
      <w:r>
        <w:t xml:space="preserve"> </w:t>
      </w:r>
      <w:r>
        <w:t xml:space="preserve">(4/2026)</w:t>
      </w:r>
      <w:r>
        <w:t xml:space="preserve"> </w:t>
      </w:r>
      <w:r>
        <w:t xml:space="preserve">- Stanford HAI and SDS Seminar (Mullaney, Yang, Pava, Meinhardt) (4/2026)</w:t>
      </w:r>
      <w:r>
        <w:t xml:space="preserve"> </w:t>
      </w:r>
      <w:r>
        <w:t xml:space="preserve">-</w:t>
      </w:r>
      <w:r>
        <w:t xml:space="preserve"> </w:t>
      </w:r>
      <w:r>
        <w:t xml:space="preserve">“</w:t>
      </w:r>
      <w:r>
        <w:t xml:space="preserve">What Does Student Engagement Look Like in the Age of AI?</w:t>
      </w:r>
      <w:r>
        <w:t xml:space="preserve">”</w:t>
      </w:r>
      <w:r>
        <w:t xml:space="preserve"> </w:t>
      </w:r>
      <w:r>
        <w:t xml:space="preserve">(4/2026)</w:t>
      </w:r>
      <w:r>
        <w:t xml:space="preserve"> </w:t>
      </w:r>
      <w:r>
        <w:t xml:space="preserve">- EAB,</w:t>
      </w:r>
      <w:r>
        <w:t xml:space="preserve"> </w:t>
      </w:r>
      <w:r>
        <w:t xml:space="preserve">“</w:t>
      </w:r>
      <w:r>
        <w:t xml:space="preserve">Preparing New Graduates for an AI-Driven Workforce</w:t>
      </w:r>
      <w:r>
        <w:t xml:space="preserve">”</w:t>
      </w:r>
      <w:r>
        <w:t xml:space="preserve"> </w:t>
      </w:r>
      <w:r>
        <w:t xml:space="preserve">(5/2026)</w:t>
      </w:r>
      <w:r>
        <w:t xml:space="preserve"> </w:t>
      </w:r>
      <w:r>
        <w:t xml:space="preserve">- Designlab,</w:t>
      </w:r>
      <w:r>
        <w:t xml:space="preserve"> </w:t>
      </w:r>
      <w:r>
        <w:t xml:space="preserve">“</w:t>
      </w:r>
      <w:r>
        <w:t xml:space="preserve">AI for Visual Design</w:t>
      </w:r>
      <w:r>
        <w:t xml:space="preserve">”</w:t>
      </w:r>
      <w:r>
        <w:t xml:space="preserve"> </w:t>
      </w:r>
      <w:r>
        <w:t xml:space="preserve">(5/2026)</w:t>
      </w:r>
    </w:p>
    <w:p>
      <w:pPr>
        <w:pStyle w:val="BodyText"/>
      </w:pPr>
      <w:r>
        <w:rPr>
          <w:b/>
        </w:rPr>
        <w:t xml:space="preserve">Teaching and Learning (online pedagogy, RSI, accessibility)</w:t>
      </w:r>
      <w:r>
        <w:t xml:space="preserve"> </w:t>
      </w:r>
      <w:r>
        <w:t xml:space="preserve">- 10 Strategies to Create Presence in Your Online Classroom, CTLE (8/2025)</w:t>
      </w:r>
      <w:r>
        <w:t xml:space="preserve"> </w:t>
      </w:r>
      <w:r>
        <w:t xml:space="preserve">- Crafting Wise Feedback, CTLE (8/2025)</w:t>
      </w:r>
      <w:r>
        <w:t xml:space="preserve"> </w:t>
      </w:r>
      <w:r>
        <w:t xml:space="preserve">- Writing the Best Alt Text for Images, CTLE (8/2025)</w:t>
      </w:r>
      <w:r>
        <w:t xml:space="preserve"> </w:t>
      </w:r>
      <w:r>
        <w:t xml:space="preserve">- Accessibility: Captions, CTLE (fall 2025)</w:t>
      </w:r>
      <w:r>
        <w:t xml:space="preserve"> </w:t>
      </w:r>
      <w:r>
        <w:t xml:space="preserve">- Yuja Panorama for Canvas, Levels 1–3, CTLE (fall 2025)</w:t>
      </w:r>
      <w:r>
        <w:t xml:space="preserve"> </w:t>
      </w:r>
      <w:r>
        <w:t xml:space="preserve">- Enhancing Online Engagement: Navigating RSI in the Online Classroom, CTLE (fall 2025)</w:t>
      </w:r>
      <w:r>
        <w:t xml:space="preserve"> </w:t>
      </w:r>
      <w:r>
        <w:t xml:space="preserve">- CTLE RSI Workshop (11/2025)</w:t>
      </w:r>
      <w:r>
        <w:t xml:space="preserve"> </w:t>
      </w:r>
      <w:r>
        <w:t xml:space="preserve">- Teaching in the Wild West, CTLE (4/2025)</w:t>
      </w:r>
      <w:r>
        <w:t xml:space="preserve"> </w:t>
      </w:r>
      <w:r>
        <w:t xml:space="preserve">- Diversity and Inclusion in the Online Classroom, CTLE (9/2024)</w:t>
      </w:r>
      <w:r>
        <w:t xml:space="preserve"> </w:t>
      </w:r>
      <w:r>
        <w:t xml:space="preserve">- Increase Engagement with Padlet, CTLE (1/2024)</w:t>
      </w:r>
      <w:r>
        <w:t xml:space="preserve"> </w:t>
      </w:r>
      <w:r>
        <w:t xml:space="preserve">- Increase Engagement with Perusall, CTLE (1/2024)</w:t>
      </w:r>
      <w:r>
        <w:t xml:space="preserve"> </w:t>
      </w:r>
      <w:r>
        <w:t xml:space="preserve">- The ABCs of Organizing your Canvas Assignments, CTLE (1/2024)</w:t>
      </w:r>
      <w:r>
        <w:t xml:space="preserve"> </w:t>
      </w:r>
      <w:r>
        <w:t xml:space="preserve">- 3 Ways to Optimize Your Google Calendar, CTLE (1/2024)</w:t>
      </w:r>
      <w:r>
        <w:t xml:space="preserve"> </w:t>
      </w:r>
      <w:r>
        <w:t xml:space="preserve">- Next Steps with Canvas Studio, CTLE (1/2024)</w:t>
      </w:r>
      <w:r>
        <w:t xml:space="preserve"> </w:t>
      </w:r>
      <w:r>
        <w:t xml:space="preserve">- Canvas: The Student Perspective, CTLE (1/2024)</w:t>
      </w:r>
      <w:r>
        <w:t xml:space="preserve"> </w:t>
      </w:r>
      <w:r>
        <w:t xml:space="preserve">- Getting Started with Miro webinar (8/2024)</w:t>
      </w:r>
      <w:r>
        <w:t xml:space="preserve"> </w:t>
      </w:r>
      <w:r>
        <w:t xml:space="preserve">- OBS tutorial series (8/2024)</w:t>
      </w:r>
      <w:r>
        <w:t xml:space="preserve"> </w:t>
      </w:r>
      <w:r>
        <w:t xml:space="preserve">- Syllabus+, CTLE (8/2024)</w:t>
      </w:r>
      <w:r>
        <w:t xml:space="preserve"> </w:t>
      </w:r>
      <w:r>
        <w:t xml:space="preserve">- Late Policies and Flexibility in Courses, CTLE (8/2024)</w:t>
      </w:r>
      <w:r>
        <w:t xml:space="preserve"> </w:t>
      </w:r>
      <w:r>
        <w:t xml:space="preserve">- Canvas Updates, CTLE (8/2023)</w:t>
      </w:r>
      <w:r>
        <w:t xml:space="preserve"> </w:t>
      </w:r>
      <w:r>
        <w:t xml:space="preserve">- Best Practices for Rubrics, parts 1–3, CTLE (8/2023)</w:t>
      </w:r>
      <w:r>
        <w:t xml:space="preserve"> </w:t>
      </w:r>
      <w:r>
        <w:t xml:space="preserve">- eLearning Accessibility Summit, CTLE (8/2023)</w:t>
      </w:r>
      <w:r>
        <w:t xml:space="preserve"> </w:t>
      </w:r>
      <w:r>
        <w:t xml:space="preserve">- Regular and Substantive Interaction (RSI) in Online and Distance Learning, CTLE (8/2023)</w:t>
      </w:r>
      <w:r>
        <w:t xml:space="preserve"> </w:t>
      </w:r>
      <w:r>
        <w:t xml:space="preserve">- Providing Effective Feedback, CTLE (8/2023)</w:t>
      </w:r>
    </w:p>
    <w:p>
      <w:pPr>
        <w:pStyle w:val="BodyText"/>
      </w:pPr>
      <w:r>
        <w:rPr>
          <w:b/>
        </w:rPr>
        <w:t xml:space="preserve">Open Educational Resources (OER)</w:t>
      </w:r>
      <w:r>
        <w:t xml:space="preserve"> </w:t>
      </w:r>
      <w:r>
        <w:t xml:space="preserve">- MCCCD Intro to OER Adoption (4/2025)</w:t>
      </w:r>
      <w:r>
        <w:t xml:space="preserve"> </w:t>
      </w:r>
      <w:r>
        <w:t xml:space="preserve">- Advanced OER, CTLE (fall 2025)</w:t>
      </w:r>
      <w:r>
        <w:t xml:space="preserve"> </w:t>
      </w:r>
      <w:r>
        <w:t xml:space="preserve">- OERizona OER Fundamentals Academy, multi-session (fall 2024)</w:t>
      </w:r>
      <w:r>
        <w:t xml:space="preserve"> </w:t>
      </w:r>
      <w:r>
        <w:t xml:space="preserve">- LibreTexts (OER Publishing Platform) for MCCCD (1/2024)</w:t>
      </w:r>
    </w:p>
    <w:p>
      <w:pPr>
        <w:pStyle w:val="BodyText"/>
      </w:pPr>
      <w:r>
        <w:rPr>
          <w:b/>
        </w:rPr>
        <w:t xml:space="preserve">Conferences and District Events</w:t>
      </w:r>
      <w:r>
        <w:t xml:space="preserve"> </w:t>
      </w:r>
      <w:r>
        <w:t xml:space="preserve">- Presented: Mesa Community College AI Summit, Render (5/2026)</w:t>
      </w:r>
      <w:r>
        <w:t xml:space="preserve"> </w:t>
      </w:r>
      <w:r>
        <w:t xml:space="preserve">- 2026 CTLE Spring Conference: Access in Action, GCC (2/2026)</w:t>
      </w:r>
      <w:r>
        <w:t xml:space="preserve"> </w:t>
      </w:r>
      <w:r>
        <w:t xml:space="preserve">- ART/HUM CTE/OPD Summit, GCC (9/2024)</w:t>
      </w:r>
      <w:r>
        <w:t xml:space="preserve"> </w:t>
      </w:r>
      <w:r>
        <w:t xml:space="preserve">- 2026 District Day of Learning (1/2026)</w:t>
      </w:r>
      <w:r>
        <w:t xml:space="preserve"> </w:t>
      </w:r>
      <w:r>
        <w:t xml:space="preserve">- District Day of Learning (1/2025)</w:t>
      </w:r>
    </w:p>
    <w:p>
      <w:pPr>
        <w:pStyle w:val="BodyText"/>
      </w:pPr>
      <w:r>
        <w:rPr>
          <w:b/>
        </w:rPr>
        <w:t xml:space="preserve">Books (professional reading)</w:t>
      </w:r>
      <w:r>
        <w:t xml:space="preserve"> </w:t>
      </w:r>
      <w:r>
        <w:t xml:space="preserve">-</w:t>
      </w:r>
      <w:r>
        <w:t xml:space="preserve"> </w:t>
      </w:r>
      <w:r>
        <w:rPr>
          <w:i/>
        </w:rPr>
        <w:t xml:space="preserve">Robot-Proof</w:t>
      </w:r>
      <w:r>
        <w:t xml:space="preserve">, Joseph Aoun</w:t>
      </w:r>
      <w:r>
        <w:t xml:space="preserve"> </w:t>
      </w:r>
      <w:r>
        <w:t xml:space="preserve">-</w:t>
      </w:r>
      <w:r>
        <w:t xml:space="preserve"> </w:t>
      </w:r>
      <w:r>
        <w:rPr>
          <w:i/>
        </w:rPr>
        <w:t xml:space="preserve">Don’t Make Me Think</w:t>
      </w:r>
      <w:r>
        <w:t xml:space="preserve">, Steve Krug</w:t>
      </w:r>
      <w:r>
        <w:t xml:space="preserve"> </w:t>
      </w:r>
      <w:r>
        <w:t xml:space="preserve">-</w:t>
      </w:r>
      <w:r>
        <w:t xml:space="preserve"> </w:t>
      </w:r>
      <w:r>
        <w:rPr>
          <w:i/>
        </w:rPr>
        <w:t xml:space="preserve">Dopamine Nation</w:t>
      </w:r>
      <w:r>
        <w:t xml:space="preserve">, Anna Lembke</w:t>
      </w:r>
      <w:r>
        <w:t xml:space="preserve"> </w:t>
      </w:r>
      <w:r>
        <w:t xml:space="preserve">-</w:t>
      </w:r>
      <w:r>
        <w:t xml:space="preserve"> </w:t>
      </w:r>
      <w:r>
        <w:rPr>
          <w:i/>
        </w:rPr>
        <w:t xml:space="preserve">12 Bytes</w:t>
      </w:r>
      <w:r>
        <w:t xml:space="preserve">, Jeanette Winterson</w:t>
      </w:r>
      <w:r>
        <w:t xml:space="preserve"> </w:t>
      </w:r>
      <w:r>
        <w:t xml:space="preserve">-</w:t>
      </w:r>
      <w:r>
        <w:t xml:space="preserve"> </w:t>
      </w:r>
      <w:r>
        <w:rPr>
          <w:i/>
        </w:rPr>
        <w:t xml:space="preserve">Make It So: Interaction Design Lessons from Science Fiction</w:t>
      </w:r>
      <w:r>
        <w:t xml:space="preserve">, Nathan Shedroff and Christopher Noessel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copamigo/" TargetMode="External" /><Relationship Type="http://schemas.openxmlformats.org/officeDocument/2006/relationships/hyperlink" Id="rId33" Target="/copamigo/prd.html" TargetMode="External" /><Relationship Type="http://schemas.openxmlformats.org/officeDocument/2006/relationships/hyperlink" Id="rId34" Target="/cultivate/" TargetMode="External" /><Relationship Type="http://schemas.openxmlformats.org/officeDocument/2006/relationships/hyperlink" Id="rId35" Target="/cultivate/prd.html" TargetMode="External" /><Relationship Type="http://schemas.openxmlformats.org/officeDocument/2006/relationships/hyperlink" Id="rId49" Target="/newsletter/" TargetMode="External" /><Relationship Type="http://schemas.openxmlformats.org/officeDocument/2006/relationships/hyperlink" Id="rId28" Target="/render/" TargetMode="External" /><Relationship Type="http://schemas.openxmlformats.org/officeDocument/2006/relationships/hyperlink" Id="rId31" Target="/render/mesa-ai-summit-2026.html" TargetMode="External" /><Relationship Type="http://schemas.openxmlformats.org/officeDocument/2006/relationships/hyperlink" Id="rId29" Target="/render/overview.html" TargetMode="External" /><Relationship Type="http://schemas.openxmlformats.org/officeDocument/2006/relationships/hyperlink" Id="rId30" Target="/render/prd.html" TargetMode="External" /><Relationship Type="http://schemas.openxmlformats.org/officeDocument/2006/relationships/hyperlink" Id="rId38" Target="fep-evaluations.html" TargetMode="External" /><Relationship Type="http://schemas.openxmlformats.org/officeDocument/2006/relationships/hyperlink" Id="rId52" Target="https://docs.google.com/document/d/17K8bcw26JggOR-95EKkZsgOJ5o9MfXe5Enk0AgtCqXg/edit" TargetMode="External" /><Relationship Type="http://schemas.openxmlformats.org/officeDocument/2006/relationships/hyperlink" Id="rId50" Target="https://docs.google.com/spreadsheets/d/17flOyvuyeQao-AiPivkzHI1Hiw6x9zLyPc9uIFvGGyY/edit" TargetMode="External" /><Relationship Type="http://schemas.openxmlformats.org/officeDocument/2006/relationships/hyperlink" Id="rId45" Target="https://www.youtube.com/watch?v=2IqlYgSj85Y" TargetMode="External" /><Relationship Type="http://schemas.openxmlformats.org/officeDocument/2006/relationships/hyperlink" Id="rId47" Target="https://www.youtube.com/watch?v=8lkXwTjqyHQ" TargetMode="External" /><Relationship Type="http://schemas.openxmlformats.org/officeDocument/2006/relationships/hyperlink" Id="rId46" Target="https://www.youtube.com/watch?v=JfsxXLIgLVs" TargetMode="External" /><Relationship Type="http://schemas.openxmlformats.org/officeDocument/2006/relationships/hyperlink" Id="rId41" Target="https://www.youtube.com/watch?v=Ljahc0BQfso" TargetMode="External" /><Relationship Type="http://schemas.openxmlformats.org/officeDocument/2006/relationships/hyperlink" Id="rId42" Target="https://www.youtube.com/watch?v=YBCpVIQ49EU" TargetMode="External" /><Relationship Type="http://schemas.openxmlformats.org/officeDocument/2006/relationships/hyperlink" Id="rId44" Target="https://www.youtube.com/watch?v=ccUepV19qG8" TargetMode="External" /><Relationship Type="http://schemas.openxmlformats.org/officeDocument/2006/relationships/hyperlink" Id="rId43" Target="https://www.youtube.com/watch?v=dy0sGCGCPLk" TargetMode="External" /><Relationship Type="http://schemas.openxmlformats.org/officeDocument/2006/relationships/hyperlink" Id="rId27" Target="https://youtu.be/3BSswUDrIjg" TargetMode="External" /><Relationship Type="http://schemas.openxmlformats.org/officeDocument/2006/relationships/hyperlink" Id="rId26" Target="https://youtu.be/A8eM7mdk0_k" TargetMode="External" /></Relationships>
</file>

<file path=word/_rels/footnotes.xml.rels><?xml version="1.0" encoding="UTF-8"?>
<Relationships xmlns="http://schemas.openxmlformats.org/package/2006/relationships"><Relationship Type="http://schemas.openxmlformats.org/officeDocument/2006/relationships/hyperlink" Id="rId32" Target="/copamigo/" TargetMode="External" /><Relationship Type="http://schemas.openxmlformats.org/officeDocument/2006/relationships/hyperlink" Id="rId33" Target="/copamigo/prd.html" TargetMode="External" /><Relationship Type="http://schemas.openxmlformats.org/officeDocument/2006/relationships/hyperlink" Id="rId34" Target="/cultivate/" TargetMode="External" /><Relationship Type="http://schemas.openxmlformats.org/officeDocument/2006/relationships/hyperlink" Id="rId35" Target="/cultivate/prd.html" TargetMode="External" /><Relationship Type="http://schemas.openxmlformats.org/officeDocument/2006/relationships/hyperlink" Id="rId49" Target="/newsletter/" TargetMode="External" /><Relationship Type="http://schemas.openxmlformats.org/officeDocument/2006/relationships/hyperlink" Id="rId28" Target="/render/" TargetMode="External" /><Relationship Type="http://schemas.openxmlformats.org/officeDocument/2006/relationships/hyperlink" Id="rId31" Target="/render/mesa-ai-summit-2026.html" TargetMode="External" /><Relationship Type="http://schemas.openxmlformats.org/officeDocument/2006/relationships/hyperlink" Id="rId29" Target="/render/overview.html" TargetMode="External" /><Relationship Type="http://schemas.openxmlformats.org/officeDocument/2006/relationships/hyperlink" Id="rId30" Target="/render/prd.html" TargetMode="External" /><Relationship Type="http://schemas.openxmlformats.org/officeDocument/2006/relationships/hyperlink" Id="rId38" Target="fep-evaluations.html" TargetMode="External" /><Relationship Type="http://schemas.openxmlformats.org/officeDocument/2006/relationships/hyperlink" Id="rId52" Target="https://docs.google.com/document/d/17K8bcw26JggOR-95EKkZsgOJ5o9MfXe5Enk0AgtCqXg/edit" TargetMode="External" /><Relationship Type="http://schemas.openxmlformats.org/officeDocument/2006/relationships/hyperlink" Id="rId50" Target="https://docs.google.com/spreadsheets/d/17flOyvuyeQao-AiPivkzHI1Hiw6x9zLyPc9uIFvGGyY/edit" TargetMode="External" /><Relationship Type="http://schemas.openxmlformats.org/officeDocument/2006/relationships/hyperlink" Id="rId45" Target="https://www.youtube.com/watch?v=2IqlYgSj85Y" TargetMode="External" /><Relationship Type="http://schemas.openxmlformats.org/officeDocument/2006/relationships/hyperlink" Id="rId47" Target="https://www.youtube.com/watch?v=8lkXwTjqyHQ" TargetMode="External" /><Relationship Type="http://schemas.openxmlformats.org/officeDocument/2006/relationships/hyperlink" Id="rId46" Target="https://www.youtube.com/watch?v=JfsxXLIgLVs" TargetMode="External" /><Relationship Type="http://schemas.openxmlformats.org/officeDocument/2006/relationships/hyperlink" Id="rId41" Target="https://www.youtube.com/watch?v=Ljahc0BQfso" TargetMode="External" /><Relationship Type="http://schemas.openxmlformats.org/officeDocument/2006/relationships/hyperlink" Id="rId42" Target="https://www.youtube.com/watch?v=YBCpVIQ49EU" TargetMode="External" /><Relationship Type="http://schemas.openxmlformats.org/officeDocument/2006/relationships/hyperlink" Id="rId44" Target="https://www.youtube.com/watch?v=ccUepV19qG8" TargetMode="External" /><Relationship Type="http://schemas.openxmlformats.org/officeDocument/2006/relationships/hyperlink" Id="rId43" Target="https://www.youtube.com/watch?v=dy0sGCGCPLk" TargetMode="External" /><Relationship Type="http://schemas.openxmlformats.org/officeDocument/2006/relationships/hyperlink" Id="rId27" Target="https://youtu.be/3BSswUDrIjg" TargetMode="External" /><Relationship Type="http://schemas.openxmlformats.org/officeDocument/2006/relationships/hyperlink" Id="rId26" Target="https://youtu.be/A8eM7mdk0_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2026-06-28T20:10:55Z</dcterms:created>
  <dcterms:modified xsi:type="dcterms:W3CDTF">2026-06-28T20:10:55Z</dcterms:modified>
</cp:coreProperties>
</file>

<file path=docProps/custom.xml><?xml version="1.0" encoding="utf-8"?>
<Properties xmlns="http://schemas.openxmlformats.org/officeDocument/2006/custom-properties" xmlns:vt="http://schemas.openxmlformats.org/officeDocument/2006/docPropsVTypes"/>
</file>