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fep-summary-michelle-blomberg"/>
      <w:r>
        <w:t xml:space="preserve">FEP Summary · Michelle Blomberg</w:t>
      </w:r>
      <w:bookmarkEnd w:id="20"/>
    </w:p>
    <w:p>
      <w:pPr>
        <w:pStyle w:val="FirstParagraph"/>
      </w:pPr>
      <w:r>
        <w:t xml:space="preserve">Faculty member’s name: Michelle Blomberg</w:t>
      </w:r>
    </w:p>
    <w:p>
      <w:pPr>
        <w:pStyle w:val="BodyText"/>
      </w:pPr>
      <w:r>
        <w:t xml:space="preserve">College and Department: Glendale Community College, Art and Humanities</w:t>
      </w:r>
    </w:p>
    <w:p>
      <w:pPr>
        <w:pStyle w:val="BodyText"/>
      </w:pPr>
      <w:r>
        <w:t xml:space="preserve">Date: For Academic Year: July 1, 2023 – June 30, 2026 (three-year cycle)</w:t>
      </w:r>
    </w:p>
    <w:p>
      <w:pPr>
        <w:pStyle w:val="Heading2"/>
      </w:pPr>
      <w:bookmarkStart w:id="21" w:name="three-required-areas"/>
      <w:r>
        <w:t xml:space="preserve">Three Required Areas</w:t>
      </w:r>
      <w:bookmarkEnd w:id="21"/>
    </w:p>
    <w:p>
      <w:pPr>
        <w:numPr>
          <w:ilvl w:val="0"/>
          <w:numId w:val="1001"/>
        </w:numPr>
        <w:pStyle w:val="Compact"/>
      </w:pPr>
      <w:r>
        <w:t xml:space="preserve">Teaching, Learning, and/or Service</w:t>
      </w:r>
    </w:p>
    <w:p>
      <w:pPr>
        <w:numPr>
          <w:ilvl w:val="0"/>
          <w:numId w:val="1001"/>
        </w:numPr>
        <w:pStyle w:val="Compact"/>
      </w:pPr>
      <w:r>
        <w:t xml:space="preserve">Course Assessment and/or Program Development/Revision</w:t>
      </w:r>
    </w:p>
    <w:p>
      <w:pPr>
        <w:numPr>
          <w:ilvl w:val="0"/>
          <w:numId w:val="1001"/>
        </w:numPr>
        <w:pStyle w:val="Compact"/>
      </w:pPr>
      <w:r>
        <w:t xml:space="preserve">Governance and/or Committee Participation at the College and/or District levels</w:t>
      </w:r>
    </w:p>
    <w:p>
      <w:pPr>
        <w:pStyle w:val="Heading2"/>
      </w:pPr>
      <w:bookmarkStart w:id="22" w:name="two-elective-areas"/>
      <w:r>
        <w:t xml:space="preserve">Two Elective Areas</w:t>
      </w:r>
      <w:bookmarkEnd w:id="22"/>
    </w:p>
    <w:p>
      <w:pPr>
        <w:numPr>
          <w:ilvl w:val="0"/>
          <w:numId w:val="1002"/>
        </w:numPr>
        <w:pStyle w:val="Compact"/>
      </w:pPr>
      <w:r>
        <w:t xml:space="preserve">Professional Development</w:t>
      </w:r>
    </w:p>
    <w:p>
      <w:pPr>
        <w:numPr>
          <w:ilvl w:val="0"/>
          <w:numId w:val="1002"/>
        </w:numPr>
        <w:pStyle w:val="Compact"/>
      </w:pPr>
      <w:r>
        <w:t xml:space="preserve">Acquisition of New Skills</w:t>
      </w:r>
    </w:p>
    <w:p>
      <w:r>
        <w:pict>
          <v:rect style="width:0;height:1.5pt" o:hralign="center" o:hrstd="t" o:hr="t"/>
        </w:pict>
      </w:r>
    </w:p>
    <w:p>
      <w:pPr>
        <w:pStyle w:val="Heading2"/>
      </w:pPr>
      <w:bookmarkStart w:id="23" w:name="Xea012bc39654a89684cac0dd48eb348305dd262"/>
      <w:r>
        <w:t xml:space="preserve">1. Brief description of my roles and responsibilities as a faculty member</w:t>
      </w:r>
      <w:bookmarkEnd w:id="23"/>
    </w:p>
    <w:p>
      <w:pPr>
        <w:pStyle w:val="FirstParagraph"/>
      </w:pPr>
      <w:r>
        <w:t xml:space="preserve">I am Residential Faculty in Digital Media Arts at Glendale Community College, where I teach graphic design, UX, and capstone career readiness. I served as Program Director for Digital Media Arts and Animation from 2011 to 2022, and since 2022 I have been faculty only, teaching 18 or more credit hours each semester. My courses are online, and I refine them continuously using student performance data, Canvas analytics, and student feedback.</w:t>
      </w:r>
    </w:p>
    <w:p>
      <w:pPr>
        <w:pStyle w:val="BodyText"/>
      </w:pPr>
      <w:r>
        <w:t xml:space="preserve">My teaching this cycle spans the program from first course to capstone. I teach AVC 100 Introduction to Digital Media, the foundation course every digital media student takes, which my colleagues and I redesigned this cycle and which I am piloting with students this summer; the graphic design sequence, AVC 181 Graphic Design I and AVC 182 Graphic Design II; AVC 248 Design Self Promotion, the capstone career-launch course for Digital Media Arts, Animation, and Photography; and AVC 297AC Commercial Art Internship, where students do real client work for credit. The graphic design sequence is being modernized through curriculum revision: I retired AVC 181 and AVC 182 and adopted the district’s shared AVC 183 and AVC 283, and I am developing a new UX Design course as an either/or option with AVC 283 (more on that in the Program Development section). All of it is hands-on studio teaching: project-based work, critique and feedback, and direct connection between coursework and the creative workforce. Beyond teaching I advise students on academic and career planning, serve as the department’s eCourses lead and Internship Coordinator, and review online courses as an OSCQR lead reviewer. I work closely with the Career Services internship coordinator, who shares opportunities and helps get the placement paperwork done, and together we place our students.</w:t>
      </w:r>
    </w:p>
    <w:p>
      <w:pPr>
        <w:pStyle w:val="BodyText"/>
      </w:pPr>
      <w:r>
        <w:t xml:space="preserve">Digital Media Arts is a workforce program. Our purpose is to graduate students who are employable in a creative industry that is changing quickly. Over this evaluation cycle, the change that mattered most was the arrival of artificial intelligence in creative and professional work. Employers now expect AI skills, and that reality is what drove the focus of this FEP.</w:t>
      </w:r>
    </w:p>
    <w:p>
      <w:pPr>
        <w:pStyle w:val="Heading2"/>
      </w:pPr>
      <w:bookmarkStart w:id="24" w:name="X2bded3d22e9181c8b7d110c7328451512dcc8d3"/>
      <w:r>
        <w:t xml:space="preserve">2. Focus of the FEP and a brief statement of rationale and purpose</w:t>
      </w:r>
      <w:bookmarkEnd w:id="24"/>
    </w:p>
    <w:p>
      <w:pPr>
        <w:pStyle w:val="FirstParagraph"/>
      </w:pPr>
      <w:r>
        <w:t xml:space="preserve">The focus of this FEP is learning to use AI well enough to teach it, and then building that learning into my courses, my tools, and my service to the college and district.</w:t>
      </w:r>
    </w:p>
    <w:p>
      <w:pPr>
        <w:pStyle w:val="BodyText"/>
      </w:pPr>
      <w:r>
        <w:t xml:space="preserve">The origin goes back to 2024. That year I started a prompt engineering course through Purdue University Online, my first deliberate step into AI; I completed it in 2025 and spent that year using ChatGPT for writing support and small tasks. Late in 2025 my colleague Casey Farina introduced me to Anthropic’s Claude, and in January 2026 I made the deliberate decision to use AI seriously and daily, shifting my focus to Claude, because I did not want my students left behind. Digital Media Arts is a workforce program, the workforce is asking for AI skills, and I could not teach those skills credibly without first building real fluency myself. So I committed to learning by doing: not just reading about AI, but using it daily and building real things with it.</w:t>
      </w:r>
    </w:p>
    <w:p>
      <w:pPr>
        <w:pStyle w:val="BodyText"/>
      </w:pPr>
      <w:r>
        <w:t xml:space="preserve">The rationale connects to a conviction I have held for a long time, and I learned it firsthand. My first graphic design job out of college was with a Fortune 100 company, where a colleague showed me HTML, told me to learn it, and the two of us went on to build one of the first Fortune 100 websites. The web did not exist as a medium when I was in school; I built those early pages by taking what I had learned about design, hierarchy, type, and how people read, and applying it to a medium my training never named. Marshall McLuhan’s</w:t>
      </w:r>
      <w:r>
        <w:t xml:space="preserve"> </w:t>
      </w:r>
      <w:r>
        <w:t xml:space="preserve">“</w:t>
      </w:r>
      <w:r>
        <w:t xml:space="preserve">The Medium Is the Massage</w:t>
      </w:r>
      <w:r>
        <w:t xml:space="preserve">”</w:t>
      </w:r>
      <w:r>
        <w:t xml:space="preserve"> </w:t>
      </w:r>
      <w:r>
        <w:t xml:space="preserve">(McLuhan &amp; Fiore, 1967) makes the point: every new medium reshapes how people perceive, so it is never neutral and you cannot ignore it. What a career of changing tools taught me is the other half of that truth. The medium will keep changing, and I rarely get to choose it, so my job is to read each new one on its own terms and carry the durable principles, design, visual communication, how people process information, into whatever form it takes. AI is the most significant of those shifts so far. My job is to prepare students for tools that keep changing, and to model that kind of learning myself rather than teach it from a distance.</w:t>
      </w:r>
    </w:p>
    <w:p>
      <w:pPr>
        <w:pStyle w:val="BodyText"/>
      </w:pPr>
      <w:r>
        <w:t xml:space="preserve">The goal I set at the start of this cycle was concrete: build real, daily AI fluency, and then put it to work where it matters most, in my courses and my studio teaching, and in service to the college and district. I met that goal. The center of this cycle is my teaching: the AVC 100 redesign, the graphic design sequence (AVC 181 and 182), the AVC 248 capstone, and the AVC 297AC internship, along with the program development that holds them together, including the new UX Design course I am developing. The AI fluency shows up inside that teaching, in how I run critique, how I guide branding decisions, and in a small set of working applications I built to serve students directly. Those applications (Render, CopaMigo, and Cultivate) are prototypes, supporting evidence of the learning rather than the headline.</w:t>
      </w:r>
    </w:p>
    <w:p>
      <w:pPr>
        <w:pStyle w:val="BodyText"/>
      </w:pPr>
      <w:r>
        <w:t xml:space="preserve">This focus produced three connected bodies of work over the cycle: the teaching and program development that are my core faculty job, professional development to build genuine AI fluency, and service that helps the college and district think through AI in a thoughtful, faculty-grounded way. Where I am going next is sustaining the practice rather than treating it as a finished project: the Fall 2026 Render pilot, the AI Community of Practice, and the district committee work all carry it forward.</w:t>
      </w:r>
    </w:p>
    <w:p>
      <w:pPr>
        <w:pStyle w:val="Heading2"/>
      </w:pPr>
      <w:bookmarkStart w:id="25" w:name="summary-of-accomplishments-and-outcomes"/>
      <w:r>
        <w:t xml:space="preserve">3. Summary of accomplishments and outcomes</w:t>
      </w:r>
      <w:bookmarkEnd w:id="25"/>
    </w:p>
    <w:p>
      <w:pPr>
        <w:pStyle w:val="FirstParagraph"/>
      </w:pPr>
      <w:r>
        <w:rPr>
          <w:b/>
        </w:rPr>
        <w:t xml:space="preserve">Teaching across the program.</w:t>
      </w:r>
      <w:r>
        <w:t xml:space="preserve"> </w:t>
      </w:r>
      <w:r>
        <w:t xml:space="preserve">Studio-based graphic design and capstone courses run on continuous, open critique: students screen-record their work to YouTube and Discord and submit through Canvas. In branding, students may use AI as a fictitious client while the questions and the design stay theirs. (Detail in the Teaching section.)</w:t>
      </w:r>
    </w:p>
    <w:p>
      <w:pPr>
        <w:pStyle w:val="BodyText"/>
      </w:pPr>
      <w:r>
        <w:rPr>
          <w:b/>
        </w:rPr>
        <w:t xml:space="preserve">Teaching AI with judgment (AVC 248 capstone).</w:t>
      </w:r>
      <w:r>
        <w:t xml:space="preserve"> </w:t>
      </w:r>
      <w:r>
        <w:t xml:space="preserve">Before any tool, I teach students when AI helps and when it does not, an approach that grew from allowing AI to recommending it as the students who used it produced stronger work. The redesigned capstone adds an AI-competencies unit up front and the Render tool I built, first piloting Fall 2026. (Detail in the Teaching and Course Assessment sections.)</w:t>
      </w:r>
    </w:p>
    <w:p>
      <w:pPr>
        <w:pStyle w:val="BodyText"/>
      </w:pPr>
      <w:r>
        <w:rPr>
          <w:b/>
        </w:rPr>
        <w:t xml:space="preserve">AVC 100 redesign (complete, piloting Summer 2026).</w:t>
      </w:r>
      <w:r>
        <w:t xml:space="preserve"> </w:t>
      </w:r>
      <w:r>
        <w:t xml:space="preserve">I led the rebuild of our lowest-success course around student support and connection, with a single easy-win project carried across Illustrator, Photoshop, and After Effects. It is finished and piloting this summer; Brian Gerber and I measure the success-rate change in the fall. (Detail in the Course Assessment section.)</w:t>
      </w:r>
    </w:p>
    <w:p>
      <w:pPr>
        <w:pStyle w:val="BodyText"/>
      </w:pPr>
      <w:r>
        <w:rPr>
          <w:b/>
        </w:rPr>
        <w:t xml:space="preserve">Course and program development.</w:t>
      </w:r>
      <w:r>
        <w:t xml:space="preserve"> </w:t>
      </w:r>
      <w:r>
        <w:t xml:space="preserve">I made our Digital Media Arts and Animation degrees the campus’s first Near Z Degrees (open educational resources), developed stackable microcredentials now before the Instructional Council, modernized the graphic design sequence to the district-shared courses, developed a new UX Design course, and built the Rough Cut feeder-school outreach. (Course Assessment section.)</w:t>
      </w:r>
    </w:p>
    <w:p>
      <w:pPr>
        <w:pStyle w:val="BodyText"/>
      </w:pPr>
      <w:r>
        <w:rPr>
          <w:b/>
        </w:rPr>
        <w:t xml:space="preserve">Tools, service, and professional development.</w:t>
      </w:r>
      <w:r>
        <w:t xml:space="preserve"> </w:t>
      </w:r>
      <w:r>
        <w:t xml:space="preserve">I built three student-facing prototypes, Render, CopaMigo, and Cultivate; I co-chair the district ARC Student Support and Success domain and serve on PARC, eCourses, and the Basic Needs Committee; and I completed a concentrated year of AI professional development. (Governance and elective sections.)</w:t>
      </w:r>
    </w:p>
    <w:p>
      <w:pPr>
        <w:pStyle w:val="BodyText"/>
      </w:pPr>
      <w:r>
        <w:rPr>
          <w:b/>
        </w:rPr>
        <w:t xml:space="preserve">Awards and recognition.</w:t>
      </w:r>
      <w:r>
        <w:t xml:space="preserve"> </w:t>
      </w:r>
      <w:r>
        <w:t xml:space="preserve">A Gaucho Globe Award at the January 2026 Convocation for leading our programs to open educational resources; the CMA Pinnacle Award for Literary Magazine of the Year (2025) for The Traveler, the student publication I advise; and Artists of Promise awards in the Maricopa district competition for two of my AVC 297AC interns, Madisen Wohrle and Langna Tran.</w:t>
      </w:r>
    </w:p>
    <w:p>
      <w:pPr>
        <w:pStyle w:val="Heading2"/>
      </w:pPr>
      <w:bookmarkStart w:id="26" w:name="Xa96e63c30593f038bc51513acf26f6b66b36b1b"/>
      <w:r>
        <w:t xml:space="preserve">4. Brief statement of plans to integrate or apply this learning into my work as a faculty member</w:t>
      </w:r>
      <w:bookmarkEnd w:id="26"/>
    </w:p>
    <w:p>
      <w:pPr>
        <w:pStyle w:val="FirstParagraph"/>
      </w:pPr>
      <w:r>
        <w:t xml:space="preserve">The most immediate application is the Fall 2026 Render pilot in AVC 248, the redesigned AI-powered capstone. The pilot will test whether the course and tool work as intended with a full class and produce the data to revise them. I completed the AVC 100 redesign this cycle and am piloting it with students this summer; Brian Gerber and I teach it in the fall, where we will measure the change in success rate against the retention research it is grounded in.</w:t>
      </w:r>
    </w:p>
    <w:p>
      <w:pPr>
        <w:pStyle w:val="BodyText"/>
      </w:pPr>
      <w:r>
        <w:t xml:space="preserve">More broadly, I want AI integration to stay a sustained, evidence-informed thread in my practice rather than a single project, and three efforts are my major focus for the coming year. First, the</w:t>
      </w:r>
      <w:r>
        <w:t xml:space="preserve"> </w:t>
      </w:r>
      <w:r>
        <w:rPr>
          <w:b/>
        </w:rPr>
        <w:t xml:space="preserve">AI Community of Practice</w:t>
      </w:r>
      <w:r>
        <w:t xml:space="preserve"> </w:t>
      </w:r>
      <w:r>
        <w:t xml:space="preserve">gives the work an ongoing home at the college: a place where AI early adopters across campus, faculty, staff, and administrators, share what is working with one another, and where I will contribute what I have learned, including agentic AI. Its aim is sharing among power users rather than training, though we may collaborate on some CTLE trainings and support the campus technology committee (TAC), which has been assigned AI. Second, the</w:t>
      </w:r>
      <w:r>
        <w:t xml:space="preserve"> </w:t>
      </w:r>
      <w:r>
        <w:rPr>
          <w:b/>
        </w:rPr>
        <w:t xml:space="preserve">Student Support and Success domain</w:t>
      </w:r>
      <w:r>
        <w:t xml:space="preserve"> </w:t>
      </w:r>
      <w:r>
        <w:t xml:space="preserve">work on the district ARC gives it reach across all 10 Maricopa colleges; a key direction there is mentoring student-services staff in building their own agentic AI tools, so routine, repetitive work comes off their plates and they can focus on the students they serve. Third, the</w:t>
      </w:r>
      <w:r>
        <w:t xml:space="preserve"> </w:t>
      </w:r>
      <w:r>
        <w:rPr>
          <w:b/>
        </w:rPr>
        <w:t xml:space="preserve">Campus Cares (Basic Needs) brand system</w:t>
      </w:r>
      <w:r>
        <w:t xml:space="preserve">, where a recent DMA alumna and I are developing the full brand and marketing design for the new basic-needs hub. Alongside these, I plan to keep building AI fluency into the capstone and graphic design courses, taking students beyond prompting toward creating their own agentic work, since that is where the workforce is heading, and to keep developing CopaMigo toward something other Maricopa colleges could use.</w:t>
      </w:r>
    </w:p>
    <w:p>
      <w:pPr>
        <w:pStyle w:val="Heading2"/>
      </w:pPr>
      <w:bookmarkStart w:id="27" w:name="X29ae16c84f78b86620505550b03c26861bea2a6"/>
      <w:r>
        <w:t xml:space="preserve">5. What method and class was used for the student/service recipient evaluation</w:t>
      </w:r>
      <w:bookmarkEnd w:id="27"/>
    </w:p>
    <w:p>
      <w:pPr>
        <w:pStyle w:val="FirstParagraph"/>
      </w:pPr>
      <w:r>
        <w:t xml:space="preserve">The method for this cycle is student and service-recipient evaluation from my own classes. Four evaluations are documented here, so they are all in one place: two official department reports (AVC 297AC Commercial Art Internship and AVC 181 Graphic Design I) and two of my own in-course surveys (AVC 182 Graphic Design II and AVC 181 Graphic Design I). I focus on the teaching items and on what students wrote, setting aside logistics questions (advisor awareness, loaner laptops) that are not measures of teaching. The two official reports are attached separately as PDFs. The full results, comments, and reflection follow below.</w:t>
      </w:r>
    </w:p>
    <w:p>
      <w:pPr>
        <w:pStyle w:val="BodyText"/>
      </w:pPr>
      <w:r>
        <w:t xml:space="preserve">My own surveys carried extra weight this cycle. The official GCC course evaluations ran late in spring 2026, and many students did not know to look for the forms in their email, so the official response rate was low and uneven; one of the official reports here has a single response. Keeping my own established in-course survey meant I still gathered direct, usable feedback from students regardless of the institutional timing.</w:t>
      </w:r>
    </w:p>
    <w:p>
      <w:pPr>
        <w:pStyle w:val="Heading3"/>
      </w:pPr>
      <w:bookmarkStart w:id="28" w:name="the-numbers-at-a-glance"/>
      <w:r>
        <w:t xml:space="preserve">The numbers at a glance</w:t>
      </w:r>
      <w:bookmarkEnd w:id="28"/>
    </w:p>
    <w:p>
      <w:pPr>
        <w:numPr>
          <w:ilvl w:val="0"/>
          <w:numId w:val="1003"/>
        </w:numPr>
        <w:pStyle w:val="Compact"/>
      </w:pPr>
      <w:r>
        <w:t xml:space="preserve">AVC 297AC Commercial Art Internship: a perfect 5.00 on every item (official report, 3 responses).</w:t>
      </w:r>
    </w:p>
    <w:p>
      <w:pPr>
        <w:numPr>
          <w:ilvl w:val="0"/>
          <w:numId w:val="1003"/>
        </w:numPr>
        <w:pStyle w:val="Compact"/>
      </w:pPr>
      <w:r>
        <w:t xml:space="preserve">AVC 181 Graphic Design I: near-perfect, 5.00 on nearly every item (official report, 1 response).</w:t>
      </w:r>
    </w:p>
    <w:p>
      <w:pPr>
        <w:numPr>
          <w:ilvl w:val="0"/>
          <w:numId w:val="1003"/>
        </w:numPr>
        <w:pStyle w:val="Compact"/>
      </w:pPr>
      <w:r>
        <w:t xml:space="preserve">AVC 182 Graphic Design II: 98 percent positive on the teaching items (my in-course survey, 13 responses).</w:t>
      </w:r>
    </w:p>
    <w:p>
      <w:pPr>
        <w:numPr>
          <w:ilvl w:val="0"/>
          <w:numId w:val="1003"/>
        </w:numPr>
        <w:pStyle w:val="Compact"/>
      </w:pPr>
      <w:r>
        <w:t xml:space="preserve">AVC 181 Graphic Design I: 99 percent positive on the teaching items (my in-course survey, 12 responses).</w:t>
      </w:r>
    </w:p>
    <w:p>
      <w:pPr>
        <w:pStyle w:val="Heading3"/>
      </w:pPr>
      <w:bookmarkStart w:id="29" w:name="a-student-who-nearly-withdrew"/>
      <w:r>
        <w:t xml:space="preserve">A student who nearly withdrew</w:t>
      </w:r>
      <w:bookmarkEnd w:id="29"/>
    </w:p>
    <w:p>
      <w:pPr>
        <w:pStyle w:val="FirstParagraph"/>
      </w:pPr>
      <w:r>
        <w:t xml:space="preserve">The piece I am proudest of is not on a survey. I do not hand out blanket extensions or let students disappear for weeks, but when a student comes to me in advance with a genuine, time-sensitive hardship, I weigh it case by case. When a Digital Media Arts student registered for my class, she told me at the outset about a once-in-a-lifetime family trip, tied to a family member’s declining health, and asked for a little leeway on deadlines. Given the circumstances, I gave her my permission to go, with a plan to keep up using the shipboard internet she had paid for. It did not work out as she had planned: the connectivity never worked, she fell dozens of assignments behind, and she felt she had risked all of her courses by saying yes to the trip. She nearly withdrew. In April 2026 she wrote to me:</w:t>
      </w:r>
      <w:r>
        <w:t xml:space="preserve"> </w:t>
      </w:r>
      <w:r>
        <w:t xml:space="preserve">“</w:t>
      </w:r>
      <w:r>
        <w:t xml:space="preserve">I got so discouraged that I reached out to every teacher asking if it was possible to even pass. One teacher was kind of rude, but you and [a colleague] both hyped me up and told me what to focus on, and you two are the reasons I did not drop all my classes. I may not get the perfect grade I was hoping for, but I will finish.</w:t>
      </w:r>
      <w:r>
        <w:t xml:space="preserve">”</w:t>
      </w:r>
      <w:r>
        <w:t xml:space="preserve"> </w:t>
      </w:r>
      <w:r>
        <w:t xml:space="preserve">That is the retention outcome the AVC 100 redesign is built to create: connection and support that keep a student enrolled.</w:t>
      </w:r>
    </w:p>
    <w:p>
      <w:pPr>
        <w:pStyle w:val="Heading3"/>
      </w:pPr>
      <w:bookmarkStart w:id="30" w:name="response-distributions-and-comments"/>
      <w:r>
        <w:t xml:space="preserve">Response distributions and comments</w:t>
      </w:r>
      <w:bookmarkEnd w:id="30"/>
    </w:p>
    <w:p>
      <w:pPr>
        <w:pStyle w:val="FirstParagraph"/>
      </w:pPr>
      <w:r>
        <w:t xml:space="preserve">Counts show Strongly Agree, Agree, and Disagree; where a row does not total the response count, the remaining answers were neutral or left blank.</w:t>
      </w:r>
    </w:p>
    <w:p>
      <w:pPr>
        <w:pStyle w:val="Heading3"/>
      </w:pPr>
      <w:bookmarkStart w:id="31" w:name="X6c809f10a851d89f5bb3cc0ab8914b305e2e199"/>
      <w:r>
        <w:t xml:space="preserve">AVC 182, Graphic Design II, in-course survey (13 responses)</w:t>
      </w:r>
      <w:bookmarkEnd w:id="31"/>
    </w:p>
    <w:p>
      <w:pPr>
        <w:pStyle w:val="CaptionedFigure"/>
      </w:pPr>
      <w:r>
        <w:drawing>
          <wp:inline>
            <wp:extent cx="5334000" cy="2942754"/>
            <wp:effectExtent b="0" l="0" r="0" t="0"/>
            <wp:docPr descr="AVC 182 student evaluation results, stacked bars showing Strongly Agree, Agree, and Disagree counts for each teaching item across 13 responses" title="" id="1" name="Picture"/>
            <a:graphic>
              <a:graphicData uri="http://schemas.openxmlformats.org/drawingml/2006/picture">
                <pic:pic>
                  <pic:nvPicPr>
                    <pic:cNvPr descr="eval-avc182.png" id="0" name="Picture"/>
                    <pic:cNvPicPr>
                      <a:picLocks noChangeArrowheads="1" noChangeAspect="1"/>
                    </pic:cNvPicPr>
                  </pic:nvPicPr>
                  <pic:blipFill>
                    <a:blip r:embed="rId32"/>
                    <a:stretch>
                      <a:fillRect/>
                    </a:stretch>
                  </pic:blipFill>
                  <pic:spPr bwMode="auto">
                    <a:xfrm>
                      <a:off x="0" y="0"/>
                      <a:ext cx="5334000" cy="2942754"/>
                    </a:xfrm>
                    <a:prstGeom prst="rect">
                      <a:avLst/>
                    </a:prstGeom>
                    <a:noFill/>
                    <a:ln w="9525">
                      <a:noFill/>
                      <a:headEnd/>
                      <a:tailEnd/>
                    </a:ln>
                  </pic:spPr>
                </pic:pic>
              </a:graphicData>
            </a:graphic>
          </wp:inline>
        </w:drawing>
      </w:r>
    </w:p>
    <w:p>
      <w:pPr>
        <w:pStyle w:val="ImageCaption"/>
      </w:pPr>
      <w:r>
        <w:t xml:space="preserve">AVC 182 student evaluation results, stacked bars showing Strongly Agree, Agree, and Disagree counts for each teaching item across 13 responses</w:t>
      </w:r>
    </w:p>
    <w:p>
      <w:pPr>
        <w:pStyle w:val="BodyText"/>
      </w:pPr>
      <w:r>
        <w:t xml:space="preserve">Written comments:</w:t>
      </w:r>
    </w:p>
    <w:p>
      <w:pPr>
        <w:numPr>
          <w:ilvl w:val="0"/>
          <w:numId w:val="1004"/>
        </w:numPr>
        <w:pStyle w:val="Compact"/>
      </w:pPr>
      <w:r>
        <w:t xml:space="preserve">“</w:t>
      </w:r>
      <w:r>
        <w:t xml:space="preserve">Super thoughtful and understanding of students.</w:t>
      </w:r>
      <w:r>
        <w:t xml:space="preserve">”</w:t>
      </w:r>
    </w:p>
    <w:p>
      <w:pPr>
        <w:numPr>
          <w:ilvl w:val="0"/>
          <w:numId w:val="1004"/>
        </w:numPr>
        <w:pStyle w:val="Compact"/>
      </w:pPr>
      <w:r>
        <w:t xml:space="preserve">“</w:t>
      </w:r>
      <w:r>
        <w:t xml:space="preserve">She has been greatly communicative on the class’s social forum.</w:t>
      </w:r>
      <w:r>
        <w:t xml:space="preserve">”</w:t>
      </w:r>
    </w:p>
    <w:p>
      <w:pPr>
        <w:numPr>
          <w:ilvl w:val="0"/>
          <w:numId w:val="1004"/>
        </w:numPr>
        <w:pStyle w:val="Compact"/>
      </w:pPr>
      <w:r>
        <w:t xml:space="preserve">“</w:t>
      </w:r>
      <w:r>
        <w:t xml:space="preserve">The instructor provided a variety of resources that are easy to understand, and provided well, honest feedback on projects that encouraged me to keep going and improve more.</w:t>
      </w:r>
      <w:r>
        <w:t xml:space="preserve">”</w:t>
      </w:r>
    </w:p>
    <w:p>
      <w:pPr>
        <w:numPr>
          <w:ilvl w:val="0"/>
          <w:numId w:val="1004"/>
        </w:numPr>
        <w:pStyle w:val="Compact"/>
      </w:pPr>
      <w:r>
        <w:t xml:space="preserve">“</w:t>
      </w:r>
      <w:r>
        <w:t xml:space="preserve">She provided helpful critiques along the way that have helped shape my work into the best work.</w:t>
      </w:r>
      <w:r>
        <w:t xml:space="preserve">”</w:t>
      </w:r>
    </w:p>
    <w:p>
      <w:pPr>
        <w:numPr>
          <w:ilvl w:val="0"/>
          <w:numId w:val="1004"/>
        </w:numPr>
        <w:pStyle w:val="Compact"/>
      </w:pPr>
      <w:r>
        <w:t xml:space="preserve">“</w:t>
      </w:r>
      <w:r>
        <w:t xml:space="preserve">Organized the class in manageable sections, especially for full-time students.</w:t>
      </w:r>
      <w:r>
        <w:t xml:space="preserve">”</w:t>
      </w:r>
    </w:p>
    <w:p>
      <w:pPr>
        <w:numPr>
          <w:ilvl w:val="0"/>
          <w:numId w:val="1004"/>
        </w:numPr>
        <w:pStyle w:val="Compact"/>
      </w:pPr>
      <w:r>
        <w:t xml:space="preserve">“</w:t>
      </w:r>
      <w:r>
        <w:t xml:space="preserve">Innovation. She is on the cutting edge of AI use in MCCCD.</w:t>
      </w:r>
      <w:r>
        <w:t xml:space="preserve">”</w:t>
      </w:r>
    </w:p>
    <w:p>
      <w:pPr>
        <w:numPr>
          <w:ilvl w:val="0"/>
          <w:numId w:val="1004"/>
        </w:numPr>
        <w:pStyle w:val="Compact"/>
      </w:pPr>
      <w:r>
        <w:t xml:space="preserve">“</w:t>
      </w:r>
      <w:r>
        <w:t xml:space="preserve">My instructor had everything prepared and ready for us to do.</w:t>
      </w:r>
      <w:r>
        <w:t xml:space="preserve">”</w:t>
      </w:r>
    </w:p>
    <w:p>
      <w:pPr>
        <w:numPr>
          <w:ilvl w:val="0"/>
          <w:numId w:val="1004"/>
        </w:numPr>
        <w:pStyle w:val="Compact"/>
      </w:pPr>
      <w:r>
        <w:t xml:space="preserve">“</w:t>
      </w:r>
      <w:r>
        <w:t xml:space="preserve">She has helped clarify and explain instructions that were otherwise challenging, in a timely manner, and helped ensure I got a good opportunity to succeed.</w:t>
      </w:r>
      <w:r>
        <w:t xml:space="preserve">”</w:t>
      </w:r>
    </w:p>
    <w:p>
      <w:pPr>
        <w:numPr>
          <w:ilvl w:val="0"/>
          <w:numId w:val="1004"/>
        </w:numPr>
        <w:pStyle w:val="Compact"/>
      </w:pPr>
      <w:r>
        <w:t xml:space="preserve">“</w:t>
      </w:r>
      <w:r>
        <w:t xml:space="preserve">She has done amazing in providing feedback to our work, in a way that feels both supportive and provides growth in our skills.</w:t>
      </w:r>
      <w:r>
        <w:t xml:space="preserve">”</w:t>
      </w:r>
    </w:p>
    <w:p>
      <w:pPr>
        <w:numPr>
          <w:ilvl w:val="0"/>
          <w:numId w:val="1004"/>
        </w:numPr>
        <w:pStyle w:val="Compact"/>
      </w:pPr>
      <w:r>
        <w:t xml:space="preserve">“</w:t>
      </w:r>
      <w:r>
        <w:t xml:space="preserve">I have enjoyed being in your class this semester.</w:t>
      </w:r>
      <w:r>
        <w:t xml:space="preserve">”</w:t>
      </w:r>
    </w:p>
    <w:p>
      <w:pPr>
        <w:numPr>
          <w:ilvl w:val="0"/>
          <w:numId w:val="1004"/>
        </w:numPr>
        <w:pStyle w:val="Compact"/>
      </w:pPr>
      <w:r>
        <w:t xml:space="preserve">“</w:t>
      </w:r>
      <w:r>
        <w:t xml:space="preserve">Michelle Blomberg is awesome. I’ve taken classes from her before and plan to again.</w:t>
      </w:r>
      <w:r>
        <w:t xml:space="preserve">”</w:t>
      </w:r>
    </w:p>
    <w:p>
      <w:pPr>
        <w:numPr>
          <w:ilvl w:val="0"/>
          <w:numId w:val="1004"/>
        </w:numPr>
        <w:pStyle w:val="Compact"/>
      </w:pPr>
      <w:r>
        <w:t xml:space="preserve">“</w:t>
      </w:r>
      <w:r>
        <w:t xml:space="preserve">Thank you for helping me succeed in this class. I would not have been able to do as much as I have without your help, and thank you for responding to all of my messages in a timely manner.</w:t>
      </w:r>
      <w:r>
        <w:t xml:space="preserve">”</w:t>
      </w:r>
    </w:p>
    <w:p>
      <w:pPr>
        <w:numPr>
          <w:ilvl w:val="0"/>
          <w:numId w:val="1004"/>
        </w:numPr>
        <w:pStyle w:val="Compact"/>
      </w:pPr>
      <w:r>
        <w:t xml:space="preserve">“</w:t>
      </w:r>
      <w:r>
        <w:t xml:space="preserve">This has been an overall amazing course. The way it’s structured is perfect for a student like me. Amazing!</w:t>
      </w:r>
      <w:r>
        <w:t xml:space="preserve">”</w:t>
      </w:r>
    </w:p>
    <w:p>
      <w:pPr>
        <w:pStyle w:val="Heading3"/>
      </w:pPr>
      <w:bookmarkStart w:id="33" w:name="X1cc9a4d21ba48a29ebccac5ec1f66d29651a85a"/>
      <w:r>
        <w:t xml:space="preserve">AVC 181, Graphic Design I, in-course survey (12 responses)</w:t>
      </w:r>
      <w:bookmarkEnd w:id="33"/>
    </w:p>
    <w:p>
      <w:pPr>
        <w:pStyle w:val="CaptionedFigure"/>
      </w:pPr>
      <w:r>
        <w:drawing>
          <wp:inline>
            <wp:extent cx="5334000" cy="2942754"/>
            <wp:effectExtent b="0" l="0" r="0" t="0"/>
            <wp:docPr descr="AVC 181 student evaluation results, stacked bars showing Strongly Agree, Agree, and Disagree counts for each teaching item across 12 responses" title="" id="1" name="Picture"/>
            <a:graphic>
              <a:graphicData uri="http://schemas.openxmlformats.org/drawingml/2006/picture">
                <pic:pic>
                  <pic:nvPicPr>
                    <pic:cNvPr descr="eval-avc181.png" id="0" name="Picture"/>
                    <pic:cNvPicPr>
                      <a:picLocks noChangeArrowheads="1" noChangeAspect="1"/>
                    </pic:cNvPicPr>
                  </pic:nvPicPr>
                  <pic:blipFill>
                    <a:blip r:embed="rId34"/>
                    <a:stretch>
                      <a:fillRect/>
                    </a:stretch>
                  </pic:blipFill>
                  <pic:spPr bwMode="auto">
                    <a:xfrm>
                      <a:off x="0" y="0"/>
                      <a:ext cx="5334000" cy="2942754"/>
                    </a:xfrm>
                    <a:prstGeom prst="rect">
                      <a:avLst/>
                    </a:prstGeom>
                    <a:noFill/>
                    <a:ln w="9525">
                      <a:noFill/>
                      <a:headEnd/>
                      <a:tailEnd/>
                    </a:ln>
                  </pic:spPr>
                </pic:pic>
              </a:graphicData>
            </a:graphic>
          </wp:inline>
        </w:drawing>
      </w:r>
    </w:p>
    <w:p>
      <w:pPr>
        <w:pStyle w:val="ImageCaption"/>
      </w:pPr>
      <w:r>
        <w:t xml:space="preserve">AVC 181 student evaluation results, stacked bars showing Strongly Agree, Agree, and Disagree counts for each teaching item across 12 responses</w:t>
      </w:r>
    </w:p>
    <w:p>
      <w:pPr>
        <w:pStyle w:val="BodyText"/>
      </w:pPr>
      <w:r>
        <w:t xml:space="preserve">Written comments:</w:t>
      </w:r>
    </w:p>
    <w:p>
      <w:pPr>
        <w:numPr>
          <w:ilvl w:val="0"/>
          <w:numId w:val="1005"/>
        </w:numPr>
        <w:pStyle w:val="Compact"/>
      </w:pPr>
      <w:r>
        <w:t xml:space="preserve">“</w:t>
      </w:r>
      <w:r>
        <w:t xml:space="preserve">She has great empathy. Feeling cared for, and told that I can take care of myself without being penalized heavily, does wonders for my success.</w:t>
      </w:r>
      <w:r>
        <w:t xml:space="preserve">”</w:t>
      </w:r>
    </w:p>
    <w:p>
      <w:pPr>
        <w:numPr>
          <w:ilvl w:val="0"/>
          <w:numId w:val="1005"/>
        </w:numPr>
        <w:pStyle w:val="Compact"/>
      </w:pPr>
      <w:r>
        <w:t xml:space="preserve">“</w:t>
      </w:r>
      <w:r>
        <w:t xml:space="preserve">My instructor built a good community for us students to share our work and constructive criticism.</w:t>
      </w:r>
      <w:r>
        <w:t xml:space="preserve">”</w:t>
      </w:r>
    </w:p>
    <w:p>
      <w:pPr>
        <w:numPr>
          <w:ilvl w:val="0"/>
          <w:numId w:val="1005"/>
        </w:numPr>
        <w:pStyle w:val="Compact"/>
      </w:pPr>
      <w:r>
        <w:t xml:space="preserve">“</w:t>
      </w:r>
      <w:r>
        <w:t xml:space="preserve">Her communication was amazing. If I had any questions, she would always respond to my emails or Discord chats. It was so helpful.</w:t>
      </w:r>
      <w:r>
        <w:t xml:space="preserve">”</w:t>
      </w:r>
    </w:p>
    <w:p>
      <w:pPr>
        <w:numPr>
          <w:ilvl w:val="0"/>
          <w:numId w:val="1005"/>
        </w:numPr>
        <w:pStyle w:val="Compact"/>
      </w:pPr>
      <w:r>
        <w:t xml:space="preserve">“</w:t>
      </w:r>
      <w:r>
        <w:t xml:space="preserve">Breaking a project into steps and parts makes it much easier to manage my time and workload. The learning process feels more streamlined, while granting the opportunity to receive feedback for each part. This format is much better for me than submitting an entire project once a week.</w:t>
      </w:r>
      <w:r>
        <w:t xml:space="preserve">”</w:t>
      </w:r>
    </w:p>
    <w:p>
      <w:pPr>
        <w:numPr>
          <w:ilvl w:val="0"/>
          <w:numId w:val="1005"/>
        </w:numPr>
        <w:pStyle w:val="Compact"/>
      </w:pPr>
      <w:r>
        <w:t xml:space="preserve">“</w:t>
      </w:r>
      <w:r>
        <w:t xml:space="preserve">I feel that my instructor is good at grading our assignments in a timely manner.</w:t>
      </w:r>
      <w:r>
        <w:t xml:space="preserve">”</w:t>
      </w:r>
    </w:p>
    <w:p>
      <w:pPr>
        <w:numPr>
          <w:ilvl w:val="0"/>
          <w:numId w:val="1005"/>
        </w:numPr>
        <w:pStyle w:val="Compact"/>
      </w:pPr>
      <w:r>
        <w:t xml:space="preserve">“</w:t>
      </w:r>
      <w:r>
        <w:t xml:space="preserve">She always responds quickly to students’ questions. Her lectures are well organized.</w:t>
      </w:r>
      <w:r>
        <w:t xml:space="preserve">”</w:t>
      </w:r>
    </w:p>
    <w:p>
      <w:pPr>
        <w:numPr>
          <w:ilvl w:val="0"/>
          <w:numId w:val="1005"/>
        </w:numPr>
        <w:pStyle w:val="Compact"/>
      </w:pPr>
      <w:r>
        <w:t xml:space="preserve">“</w:t>
      </w:r>
      <w:r>
        <w:t xml:space="preserve">All the assignments were very helpful and helped me learn new skills I can carry onto my next classes.</w:t>
      </w:r>
      <w:r>
        <w:t xml:space="preserve">”</w:t>
      </w:r>
    </w:p>
    <w:p>
      <w:pPr>
        <w:numPr>
          <w:ilvl w:val="0"/>
          <w:numId w:val="1005"/>
        </w:numPr>
        <w:pStyle w:val="Compact"/>
      </w:pPr>
      <w:r>
        <w:t xml:space="preserve">“</w:t>
      </w:r>
      <w:r>
        <w:t xml:space="preserve">The book and coursework were great. I enjoyed learning this history and terms for graphic design.</w:t>
      </w:r>
      <w:r>
        <w:t xml:space="preserve">”</w:t>
      </w:r>
    </w:p>
    <w:p>
      <w:pPr>
        <w:numPr>
          <w:ilvl w:val="0"/>
          <w:numId w:val="1005"/>
        </w:numPr>
        <w:pStyle w:val="Compact"/>
      </w:pPr>
      <w:r>
        <w:t xml:space="preserve">“</w:t>
      </w:r>
      <w:r>
        <w:t xml:space="preserve">She has given us a good variety of projects to complete.</w:t>
      </w:r>
      <w:r>
        <w:t xml:space="preserve">”</w:t>
      </w:r>
    </w:p>
    <w:p>
      <w:pPr>
        <w:numPr>
          <w:ilvl w:val="0"/>
          <w:numId w:val="1005"/>
        </w:numPr>
        <w:pStyle w:val="Compact"/>
      </w:pPr>
      <w:r>
        <w:t xml:space="preserve">“</w:t>
      </w:r>
      <w:r>
        <w:t xml:space="preserve">Thank you for being patient with me.</w:t>
      </w:r>
      <w:r>
        <w:t xml:space="preserve">”</w:t>
      </w:r>
    </w:p>
    <w:p>
      <w:pPr>
        <w:numPr>
          <w:ilvl w:val="0"/>
          <w:numId w:val="1005"/>
        </w:numPr>
        <w:pStyle w:val="Compact"/>
      </w:pPr>
      <w:r>
        <w:t xml:space="preserve">“</w:t>
      </w:r>
      <w:r>
        <w:t xml:space="preserve">I really enjoy this class.</w:t>
      </w:r>
      <w:r>
        <w:t xml:space="preserve">”</w:t>
      </w:r>
    </w:p>
    <w:p>
      <w:pPr>
        <w:numPr>
          <w:ilvl w:val="0"/>
          <w:numId w:val="1005"/>
        </w:numPr>
        <w:pStyle w:val="Compact"/>
      </w:pPr>
      <w:r>
        <w:t xml:space="preserve">“</w:t>
      </w:r>
      <w:r>
        <w:t xml:space="preserve">Loved this class! It was my favorite one this semester.</w:t>
      </w:r>
      <w:r>
        <w:t xml:space="preserve">”</w:t>
      </w:r>
    </w:p>
    <w:p>
      <w:pPr>
        <w:pStyle w:val="Heading3"/>
      </w:pPr>
      <w:bookmarkStart w:id="35" w:name="official-department-reports"/>
      <w:r>
        <w:t xml:space="preserve">Official department reports</w:t>
      </w:r>
      <w:bookmarkEnd w:id="35"/>
    </w:p>
    <w:p>
      <w:pPr>
        <w:numPr>
          <w:ilvl w:val="0"/>
          <w:numId w:val="1006"/>
        </w:numPr>
        <w:pStyle w:val="Compact"/>
      </w:pPr>
      <w:r>
        <w:rPr>
          <w:b/>
        </w:rPr>
        <w:t xml:space="preserve">AVC 297AC, Commercial Art Internship (3 responses).</w:t>
      </w:r>
      <w:r>
        <w:t xml:space="preserve"> </w:t>
      </w:r>
      <w:r>
        <w:t xml:space="preserve">A perfect 5.00 on every rated item. This report also serves as the interns’ reflection on the experience.</w:t>
      </w:r>
    </w:p>
    <w:p>
      <w:pPr>
        <w:numPr>
          <w:ilvl w:val="0"/>
          <w:numId w:val="1006"/>
        </w:numPr>
        <w:pStyle w:val="Compact"/>
      </w:pPr>
      <w:r>
        <w:rPr>
          <w:b/>
        </w:rPr>
        <w:t xml:space="preserve">AVC 181, Graphic Design I (official, 1 response).</w:t>
      </w:r>
      <w:r>
        <w:t xml:space="preserve"> </w:t>
      </w:r>
      <w:r>
        <w:t xml:space="preserve">Near-perfect: 5.00 on content relevance, organization, supportive environment, assignments, collaboration and peer feedback, constructive and timely feedback, and clear and fair grading, with a 4.00 on clarity of objectives and on instructor expertise.</w:t>
      </w:r>
    </w:p>
    <w:p>
      <w:pPr>
        <w:pStyle w:val="Heading3"/>
      </w:pPr>
      <w:bookmarkStart w:id="36" w:name="strengths-and-growth"/>
      <w:r>
        <w:t xml:space="preserve">Strengths and growth</w:t>
      </w:r>
      <w:bookmarkEnd w:id="36"/>
    </w:p>
    <w:p>
      <w:pPr>
        <w:pStyle w:val="FirstParagraph"/>
      </w:pPr>
      <w:r>
        <w:t xml:space="preserve">What students named as strengths: care and support, communication and responsiveness, the step-based project structure, constructive feedback, real portfolio-ready work, and AI innovation. Where they wanted more: grading and feedback turnaround on every step of a large class, slightly clearer instructions in a few places, and more even peer critique on Discord.</w:t>
      </w:r>
    </w:p>
    <w:p>
      <w:pPr>
        <w:pStyle w:val="Heading3"/>
      </w:pPr>
      <w:bookmarkStart w:id="37" w:name="reflection"/>
      <w:r>
        <w:t xml:space="preserve">Reflection</w:t>
      </w:r>
      <w:bookmarkEnd w:id="37"/>
    </w:p>
    <w:p>
      <w:pPr>
        <w:pStyle w:val="FirstParagraph"/>
      </w:pPr>
      <w:r>
        <w:t xml:space="preserve">What I learned from the evaluations is that the relational and structural parts of my teaching are landing well: students feel cared for, find me responsive, and value the way I break projects into steps. My one clear, fair weakness is grading and feedback turnaround in 24-student online courses. I am applying that lesson now: for the formative steps of a scaffolded project I am moving to a single whole-class video critique in Discord, the online version of pinning work to a studio critique wall, with checkmark, complete-or-incomplete grading, and reserving full individual written feedback for the summative final work, where it matters most. I am also carrying the smaller-step, faster-feedback structure from the AVC 100 redesign into my other courses, and using my AI work to take routine load off so timely human feedback has room to grow. Regular and substantive interaction is something I keep refining and love comparing notes on with other faculty.</w:t>
      </w:r>
    </w:p>
    <w:p>
      <w:pPr>
        <w:pStyle w:val="Heading2"/>
      </w:pPr>
      <w:bookmarkStart w:id="38" w:name="goals-for-next-evaluation"/>
      <w:r>
        <w:t xml:space="preserve">6. Goals for next evaluation</w:t>
      </w:r>
      <w:bookmarkEnd w:id="38"/>
    </w:p>
    <w:p>
      <w:pPr>
        <w:numPr>
          <w:ilvl w:val="0"/>
          <w:numId w:val="1007"/>
        </w:numPr>
        <w:pStyle w:val="Compact"/>
      </w:pPr>
      <w:r>
        <w:t xml:space="preserve">Run the Fall 2026 Render pilot in AVC 248, gather class data, and revise the tool based on what students actually use.</w:t>
      </w:r>
    </w:p>
    <w:p>
      <w:pPr>
        <w:numPr>
          <w:ilvl w:val="0"/>
          <w:numId w:val="1007"/>
        </w:numPr>
        <w:pStyle w:val="Compact"/>
      </w:pPr>
      <w:r>
        <w:t xml:space="preserve">Record the Fall 2026 pilot end to end and present Render again with real pilot results. I am looking for a larger conference at which to present Render, and I am pursuing the cross-faculty collaborations that came out of the Mesa AI Summit (including faculty in Economics and in Fitness and Wellness), helping other faculty adapt something like Render for their own students.</w:t>
      </w:r>
    </w:p>
    <w:p>
      <w:pPr>
        <w:numPr>
          <w:ilvl w:val="0"/>
          <w:numId w:val="1007"/>
        </w:numPr>
        <w:pStyle w:val="Compact"/>
      </w:pPr>
      <w:r>
        <w:t xml:space="preserve">Attend EDUCAUSE this summer to keep current and grow my professional network in instructional design and AI.</w:t>
      </w:r>
    </w:p>
    <w:p>
      <w:pPr>
        <w:numPr>
          <w:ilvl w:val="0"/>
          <w:numId w:val="1007"/>
        </w:numPr>
        <w:pStyle w:val="Compact"/>
      </w:pPr>
      <w:r>
        <w:t xml:space="preserve">Establish the AI Community of Practice as a sustained monthly structure with consistent participation.</w:t>
      </w:r>
    </w:p>
    <w:p>
      <w:pPr>
        <w:numPr>
          <w:ilvl w:val="0"/>
          <w:numId w:val="1007"/>
        </w:numPr>
        <w:pStyle w:val="Compact"/>
      </w:pPr>
      <w:r>
        <w:t xml:space="preserve">Carry the district AI committee (ARC Student Support and Success) work from the summer service inventory into the fall usability studies and toward the 2027 roadmap, and begin mentoring student-services staff in building their own agentic AI tools that take routine, repetitive work off their plates so they can focus on the students they serve.</w:t>
      </w:r>
    </w:p>
    <w:p>
      <w:pPr>
        <w:numPr>
          <w:ilvl w:val="0"/>
          <w:numId w:val="1007"/>
        </w:numPr>
        <w:pStyle w:val="Compact"/>
      </w:pPr>
      <w:r>
        <w:t xml:space="preserve">Develop and deliver the full Campus Cares (Basic Needs) brand and marketing system with a recent DMA alumna for the new basic-needs hub.</w:t>
      </w:r>
    </w:p>
    <w:p>
      <w:pPr>
        <w:numPr>
          <w:ilvl w:val="0"/>
          <w:numId w:val="1007"/>
        </w:numPr>
        <w:pStyle w:val="Compact"/>
      </w:pPr>
      <w:r>
        <w:t xml:space="preserve">Continue developing CopaMigo toward a version other Maricopa colleges could adopt.</w:t>
      </w:r>
    </w:p>
    <w:p>
      <w:pPr>
        <w:numPr>
          <w:ilvl w:val="0"/>
          <w:numId w:val="1007"/>
        </w:numPr>
        <w:pStyle w:val="Compact"/>
      </w:pPr>
      <w:r>
        <w:t xml:space="preserve">Keep building AI fluency into the capstone and graphic design curriculum, taking students beyond prompting toward creating their own agentic work, informed by the pilot results.</w:t>
      </w:r>
    </w:p>
    <w:p>
      <w:r>
        <w:pict>
          <v:rect style="width:0;height:1.5pt" o:hralign="center" o:hrstd="t" o:hr="t"/>
        </w:pict>
      </w:r>
    </w:p>
    <w:p>
      <w:pPr>
        <w:pStyle w:val="Heading2"/>
      </w:pPr>
      <w:bookmarkStart w:id="39" w:name="X76edf6edb09a17003e41dbc9eb51c5b201f437b"/>
      <w:r>
        <w:t xml:space="preserve">Required Area · Teaching, Learning, and/or Service</w:t>
      </w:r>
      <w:bookmarkEnd w:id="39"/>
    </w:p>
    <w:p>
      <w:pPr>
        <w:pStyle w:val="FirstParagraph"/>
      </w:pPr>
      <w:r>
        <w:t xml:space="preserve">The goal across my teaching this cycle was consistent: students should leave a course with something they keep using, not just a grade. I teach Digital Media Arts as a studio. Here is how a typical unit runs in my graphic design and capstone courses. I open with the design objective and show the professional standard the work is measured against. Students do hands-on project work, then bring it to critique: they screen-record their process and result in OBS, post to YouTube and Discord, and submit through Canvas, so critique happens continuously and in the open the way it does in a real creative studio, not just at the end on a private upload. They learn to give and take critique, defend design choices, and revise. The takeaway I am after is that students connect design theory (hierarchy, type, color, visual communication) to real, finished, employable work.</w:t>
      </w:r>
    </w:p>
    <w:p>
      <w:pPr>
        <w:pStyle w:val="BodyText"/>
      </w:pPr>
      <w:r>
        <w:t xml:space="preserve">A concrete example of teaching theory through practice is the branding work in AVC 181 Graphic Design I. Students write their own client-discovery questions about the brand they are building, and I give them the option to use AI as a fictitious client that answers those questions, so the client’s responses can steer their decisions on type, color, and direction while the questions, and the design, stay theirs. It is a way to offer grounded, immediate input without handing anyone the answers. The course also carries a strong artifact of this hands-on approach in the graphic-design-history project, where each student pair becomes the expert on one design era and teaches it to the class; this cycle I offered extra credit to students who</w:t>
      </w:r>
      <w:r>
        <w:t xml:space="preserve"> </w:t>
      </w:r>
      <w:r>
        <w:t xml:space="preserve">“</w:t>
      </w:r>
      <w:r>
        <w:t xml:space="preserve">vibe coded</w:t>
      </w:r>
      <w:r>
        <w:t xml:space="preserve">”</w:t>
      </w:r>
      <w:r>
        <w:t xml:space="preserve"> </w:t>
      </w:r>
      <w:r>
        <w:t xml:space="preserve">their presentation, building a small interactive tool with AI to present their era instead of using slides. AVC 297AC Commercial Art Internship takes this all the way to real client work for credit, which is the clearest test of whether students can apply what they learned. As Internship Coordinator I place and supervise every student, set the learning outcomes with the host employer, and have each intern reflect on the experience at the end of the placement. The result is real, portfolio-ready work, and award-winning work at that: both</w:t>
      </w:r>
      <w:r>
        <w:t xml:space="preserve"> </w:t>
      </w:r>
      <w:hyperlink r:id="rId40">
        <w:r>
          <w:rPr>
            <w:rStyle w:val="Hyperlink"/>
          </w:rPr>
          <w:t xml:space="preserve">Art Beyond Gravity</w:t>
        </w:r>
      </w:hyperlink>
      <w:r>
        <w:t xml:space="preserve"> </w:t>
      </w:r>
      <w:r>
        <w:t xml:space="preserve">by Madisen Wohrle and</w:t>
      </w:r>
      <w:r>
        <w:t xml:space="preserve"> </w:t>
      </w:r>
      <w:hyperlink r:id="rId41">
        <w:r>
          <w:rPr>
            <w:rStyle w:val="Hyperlink"/>
          </w:rPr>
          <w:t xml:space="preserve">The Hidden Cost of Wild Horse Roundups</w:t>
        </w:r>
      </w:hyperlink>
      <w:r>
        <w:t xml:space="preserve"> </w:t>
      </w:r>
      <w:r>
        <w:t xml:space="preserve">by Langna Tran won Artists of Promise awards in the Maricopa district competition. The AVC 297AC course evaluation (in the evaluation summary) is itself the interns’ feedback on the experience: every rating a perfect 5.0, with comments about getting to do real client work and learning what the actual working world is like. AVC 100 anchors the other end: early, structured contact with the full-time faculty, program directors, and campus support services that retention research shows make the difference in whether a student persists.</w:t>
      </w:r>
    </w:p>
    <w:p>
      <w:pPr>
        <w:pStyle w:val="BodyText"/>
      </w:pPr>
      <w:r>
        <w:t xml:space="preserve">Before any tool, the most important work in the capstone has been teaching students when AI helps and when it does not, and that has already evolved with real students. I started by allowing AI only when appropriate, telling students exactly which assignments it fit and which it did not. The few who took me up on it produced clearly stronger work than the students who did not, so I moved from allowing it to recommending it, pointing students to the specific moments where it would help most. Throughout, I model ethical AI use myself so students can see what responsible use looks like rather than just hear about it. The biggest obstacle is what students walk in believing: many were told in high school or English classes that AI is cheating, so they are afraid to use it at all. I take that on directly and up front. We talk about what critical thinking actually is and why it matters, and we work through when they would want to reach for AI and when they should not, so they leave with judgment, not just permission.</w:t>
      </w:r>
    </w:p>
    <w:p>
      <w:pPr>
        <w:pStyle w:val="BodyText"/>
      </w:pPr>
      <w:r>
        <w:t xml:space="preserve">The clearest single piece of evidence that I applied the AI fluency this FEP is about directly to my teaching is the AVC 248 Design Self Promotion redesign. This is my capstone, and this cycle I rebuilt it into an AI-powered course. In the redesigned course students learn applied AI literacy up front, use Render (the career-launch tool I built) across the semester, and finish by building their own personal learning environment, a portable career agent aligned to a real reach job that they keep and iterate after the course ends. The course is built and ready, but students have not used Render yet; the Fall 2026 pilot is the first time. The pedagogy underneath is connectivism in practice, the same theory from my 2017 graduate research, now built into a course rather than described in one. I designed it with student privacy by design, no personally identifiable information goes into the AI. What I learned building it is that I can teach AI most credibly by modeling it, running a course on the tools my students will be asked to use rather than lecturing about them from a distance. Where I am going is the Fall 2026 pilot, which will tell me what students actually keep and use after the course ends. The Render layer is new, but the capstone already has a strong track record in what students walk out with: a complete portfolio reel they own and can show employers, spanning animation, graphic design, illustration, and 3D work. One recent graduate used her capstone portfolio to transfer to ASU.</w:t>
      </w:r>
    </w:p>
    <w:p>
      <w:pPr>
        <w:pStyle w:val="BodyText"/>
      </w:pPr>
      <w:r>
        <w:t xml:space="preserve">The longest-running example of this experiential teaching is The Traveler, GCC’s annual student literary and arts publication, which students design end to end. I have been the faculty advisor through Volumes 44 to 58, sixteen years. The department solicits the submissions; the students then judge the first cut of the work, a community judge selects the final places for the competition, and the students edit, design the book, take it to print, and host the launch. My role is to mentor them through a real production cycle with real deadlines and a real printed result, not a classroom exercise. It is the clearest example I have of teaching that connects design and editorial theory to finished, professional work students see through to publication. The Traveler won the CMA Pinnacle Award for Literary Magazine of the Year in 2025, and a documentary about it is currently being made by my students Yesenia and Madisen Wohrle. It is hands-on experiential learning and mentorship at the same time it is service to the college.</w:t>
      </w:r>
    </w:p>
    <w:p>
      <w:pPr>
        <w:pStyle w:val="BodyText"/>
      </w:pPr>
      <w:r>
        <w:rPr>
          <w:b/>
        </w:rPr>
        <w:t xml:space="preserve">Reflection.</w:t>
      </w:r>
      <w:r>
        <w:t xml:space="preserve"> </w:t>
      </w:r>
      <w:r>
        <w:t xml:space="preserve">The learning I want reviewers to see here is also my own. I set out to build genuine AI fluency and met that goal by using AI daily in my teaching practice, including teaching myself to build small functional applications so the capstone could offer real AI-supported scaffolding instead of a blank prompt. What I learned is that I can extend my design and instructional-design background into building, and that learning by doing is more honest than learning about AI from a distance. The work documents itself: a reviewer can open the Mesa AI Summit presentation and the prototype tools behind it. What ties this learning to my job is student success. I apply what I learn, about AI, about feedback, and about course design, to keep students supported, enrolled, and moving toward the goal they came for, which is the priority underneath everything I do.</w:t>
      </w:r>
    </w:p>
    <w:p>
      <w:pPr>
        <w:pStyle w:val="BodyText"/>
      </w:pPr>
      <w:r>
        <w:t xml:space="preserve">I am also evolving how I give feedback in my online studios. With 24 students and scaffolded projects, grading every step individually is the bottleneck my students rightly named, so I am shifting my feedback cycles: for the formative steps I will give a whole-class video critique in Discord, the online version of a studio critique wall where we talk through the work together, and I will reserve full individual written feedback for the summative final work. It keeps the interaction frequent and substantive while making the turnaround sustainable, and it is grounded in regular and substantive interaction, which I keep refining and love comparing notes on with other faculty. Where I am going next is to keep this a sustained, evidence-informed thread, starting with the Fall 2026 Render pilot and the feedback it produces.</w:t>
      </w:r>
    </w:p>
    <w:p>
      <w:pPr>
        <w:pStyle w:val="Heading2"/>
      </w:pPr>
      <w:bookmarkStart w:id="42" w:name="X4a436e19843fd36cb25d71039f3141ba25ac7da"/>
      <w:r>
        <w:t xml:space="preserve">Required Area · Course Assessment and/or Program Development/Revision</w:t>
      </w:r>
      <w:bookmarkEnd w:id="42"/>
    </w:p>
    <w:p>
      <w:pPr>
        <w:pStyle w:val="FirstParagraph"/>
      </w:pPr>
      <w:r>
        <w:t xml:space="preserve">This cycle included several pieces of real course and program development.</w:t>
      </w:r>
    </w:p>
    <w:p>
      <w:pPr>
        <w:pStyle w:val="BodyText"/>
      </w:pPr>
      <w:r>
        <w:rPr>
          <w:b/>
        </w:rPr>
        <w:t xml:space="preserve">AVC 100 redesign (complete).</w:t>
      </w:r>
      <w:r>
        <w:t xml:space="preserve"> </w:t>
      </w:r>
      <w:r>
        <w:t xml:space="preserve">The central student-success and retention work this cycle is the AVC 100 Introduction to Digital Arts redesign. AVC 100 had long been hard to staff and under-developed, and I had not taught it regularly. When success-rate data showed it was our least successful course, the full-time faculty, Brian Gerber, Casey Farina, and I, agreed we needed to rebuild it and be involved in teaching it ourselves, rather than leave a one-credit course to whoever was available. Our goal was a bulletproof course template our adjuncts could contribute to without having to create all the materials themselves. I did most of the build; Brian Gerber helped a fair amount and built the animation module; and Casey Farina, as our program director, is contributing a video that welcomes students to our programs. The redesign is finished and I am piloting it with students this summer.</w:t>
      </w:r>
    </w:p>
    <w:p>
      <w:pPr>
        <w:pStyle w:val="BodyText"/>
      </w:pPr>
      <w:r>
        <w:t xml:space="preserve">Why this course, and why now. AVC 100 is the one course every one of our intro students takes, including students who are not in our program, and most sections are online. It is also only one credit, which has quietly shaped its history: it is hard to staff, because it is difficult to get adjunct faculty to take a one-credit course and nearly impossible to get someone to come to campus to teach one, so the course has often gone to whoever was available and has not had real development invested in it in about ten years. The trigger for the redesign was the data. When we looked at success rates, AVC 100 was our least successful course, which is hard to believe for one of our easiest, ground-level courses. Part of the reason was that we had been cramming a lot of software into a one-credit class, making a low-stakes introduction feel technical and overwhelming.</w:t>
      </w:r>
    </w:p>
    <w:p>
      <w:pPr>
        <w:pStyle w:val="BodyText"/>
      </w:pPr>
      <w:r>
        <w:t xml:space="preserve">The redesign answers that directly, and it is grounded in the evidence that when students feel connected and supported they persist. First, I wove student support into the course itself: short videos and modules that show students the help that exists on campus, introductions to the full-time faculty and program directors, and clear guidance on where to get help, so support is part of the class, not separate from it. The student-success videos were scripted by me and Jeannie Berg and produced by Bryan Dubon, an hourly employee whose video production was funded by Dean Susan Campbell, such as</w:t>
      </w:r>
      <w:r>
        <w:t xml:space="preserve"> </w:t>
      </w:r>
      <w:hyperlink r:id="rId43">
        <w:r>
          <w:rPr>
            <w:rStyle w:val="Hyperlink"/>
          </w:rPr>
          <w:t xml:space="preserve">GCC Cares</w:t>
        </w:r>
      </w:hyperlink>
      <w:r>
        <w:t xml:space="preserve"> </w:t>
      </w:r>
      <w:r>
        <w:t xml:space="preserve">and</w:t>
      </w:r>
      <w:r>
        <w:t xml:space="preserve"> </w:t>
      </w:r>
      <w:hyperlink r:id="rId44">
        <w:r>
          <w:rPr>
            <w:rStyle w:val="Hyperlink"/>
          </w:rPr>
          <w:t xml:space="preserve">Advising</w:t>
        </w:r>
      </w:hyperlink>
      <w:r>
        <w:t xml:space="preserve">. Second, because it is Introduction to Digital Arts, I use the course to introduce our programs, including a welcome video from our program director, Casey Farina, and to show real work industry professionals are doing, so students can see what a degree in one of our areas can lead to. Third, instead of many disconnected software assignments, the course now carries one clearly scaffolded project on a single subject across three pieces, a branded poster, postcard, and social media animation built across Illustrator, Photoshop, and After Effects, with the principles of design and the imaging and animation vocabulary students carry through the program scaffolded throughout. The three parts introduce the most important tools from each application rather than trying to teach everything, and because After Effects is the most intimidating, students build their animated piece from a template so the result still looks professional and the heavy software does not scare them off. The point is not to drill software but to get students into the software making something real, learning the workflow, and walking away with an easy-win, showcase-ready brand they add to a new portfolio they will use throughout the program. For many students this is the first real introduction to college they have ever had, so keeping it less technical and more about learning the programs while making real work is the heart of the bet. Brian and I both teach the course in the fall, where we will measure the change in success rate against the data that motivated the rebuild.</w:t>
      </w:r>
    </w:p>
    <w:p>
      <w:pPr>
        <w:pStyle w:val="BodyText"/>
      </w:pPr>
      <w:r>
        <w:rPr>
          <w:b/>
        </w:rPr>
        <w:t xml:space="preserve">Open educational resources: the campus’s first Near Z Degrees.</w:t>
      </w:r>
      <w:r>
        <w:t xml:space="preserve"> </w:t>
      </w:r>
      <w:r>
        <w:t xml:space="preserve">On the Open Educational Resources committee in 2024 to 2025, I moved our programs off commercial textbooks and onto open educational resources. As a result, our Digital Media Arts and Animation degrees became the first Near Z Degrees at the college, near-zero cost beyond tuition, with little or no textbook expense. Every course in the programs now uses OER; the one course with a textbook offers it free through the library. The reason is access: textbook cost is a real barrier that keeps students from starting or staying, and removing it lets every student begin on day one with the materials they need. My students also produced a promotional animation to help promote OER across campus.</w:t>
      </w:r>
    </w:p>
    <w:p>
      <w:pPr>
        <w:pStyle w:val="BodyText"/>
      </w:pPr>
      <w:r>
        <w:rPr>
          <w:b/>
        </w:rPr>
        <w:t xml:space="preserve">Stackable microcredential certificates (Animation and DMA), developed and submitted to Instructional Council this cycle.</w:t>
      </w:r>
      <w:r>
        <w:t xml:space="preserve"> </w:t>
      </w:r>
      <w:r>
        <w:t xml:space="preserve">I developed scaffolded, stackable microcredential blocks for the Animation and Digital Media Arts credentials, each kept under the 15-credit cap, so students coming in from very different starting points (career-changers, first-time students, and high schoolers) can each earn a meaningful credential early and see a clear path forward. Each block is designed to count toward either the Animation and Time-Based Media AAS or the Digital Media Arts AAS, so nothing a student earns is wasted if they keep going. Status: I developed the Animation and DMA stackable microcredentials and have submitted them to the Instructional Council. They are not approved yet; the requests are in process with the IC, with implementation targeted for 2027 to 2028 if they move through. The structure document is at canvas/stackable_certificates.pdf.</w:t>
      </w:r>
    </w:p>
    <w:p>
      <w:pPr>
        <w:pStyle w:val="BodyText"/>
      </w:pPr>
      <w:r>
        <w:rPr>
          <w:b/>
        </w:rPr>
        <w:t xml:space="preserve">Graphic design sequence revision (retired AVC 181/182, adopted AVC 183/283).</w:t>
      </w:r>
      <w:r>
        <w:t xml:space="preserve"> </w:t>
      </w:r>
      <w:r>
        <w:t xml:space="preserve">I revised the Digital Media Arts curriculum to retire AVC 181 Graphic Design I and AVC 182 Graphic Design II, the courses I had long taught, and adopt the district’s newer shared courses, AVC 183 Digital Graphic Design I and AVC 283 Digital Graphic Design II, which were introduced district-wide while I was off Instructional Council. Because these courses are shared across Graphic Design and several other majors throughout the district, adopting them lets our program draw</w:t>
      </w:r>
      <w:r>
        <w:t xml:space="preserve"> </w:t>
      </w:r>
      <w:r>
        <w:t xml:space="preserve">“</w:t>
      </w:r>
      <w:r>
        <w:t xml:space="preserve">swirling</w:t>
      </w:r>
      <w:r>
        <w:t xml:space="preserve">”</w:t>
      </w:r>
      <w:r>
        <w:t xml:space="preserve"> </w:t>
      </w:r>
      <w:r>
        <w:t xml:space="preserve">students from other majors, which matters especially since both courses are online. The competencies are very similar to the courses they replace, so nothing essential is lost. The change also fixes a persistent enrollment problem: we struggled to fill Graphic Design II as AVC 182 when we ran it every semester. Now AVC 183 is on the schedule for all sections and is nearly full, both courses run in spring, and AVC 283 is offered once a year rather than every semester, which concentrates demand so the course fills.</w:t>
      </w:r>
    </w:p>
    <w:p>
      <w:pPr>
        <w:pStyle w:val="BodyText"/>
      </w:pPr>
      <w:r>
        <w:rPr>
          <w:b/>
        </w:rPr>
        <w:t xml:space="preserve">New UX Design course.</w:t>
      </w:r>
      <w:r>
        <w:t xml:space="preserve"> </w:t>
      </w:r>
      <w:r>
        <w:t xml:space="preserve">I developed a new UX Design course for the Digital Media Arts curriculum as an either/or option with AVC 283, with the potential to replace it as the program evolves, building it to fill the gap between our graphic design sequence and the interaction-design work the creative workforce now expects. It is currently in the approval process: I am moving it through the curriculum committee and Instructional Council. This is in process, not approved yet, but the course is designed and the proposal is in the pipeline.</w:t>
      </w:r>
    </w:p>
    <w:p>
      <w:pPr>
        <w:pStyle w:val="BodyText"/>
      </w:pPr>
      <w:r>
        <w:rPr>
          <w:b/>
        </w:rPr>
        <w:t xml:space="preserve">Rough Cut feeder-school outreach (program development, built; launches August).</w:t>
      </w:r>
      <w:r>
        <w:t xml:space="preserve"> </w:t>
      </w:r>
      <w:r>
        <w:t xml:space="preserve">As program development aimed at enrollment and the health of our programs, I built Rough Cut, a recruitment and relationship system to reach feeder-school students before private and for-profit colleges commit them. Using AI I built a research and contact spreadsheet of 36-plus regional feeder high schools across 8 districts, targeting the contacts who reach creative students (art teachers, yearbook advisors, CTE coordinators, counselors), plus a semester newsletter and a visit-form-to-Sheet inquiry pipeline. The background build and contact list are complete; the first issue is intentionally held for August, when I meet with colleagues Jeannie and Casey and the Agua Fria district CTE Director to finalize distribution to high school CTE teachers. The rationale is student access and affordability: students often commit to costlier institutions before they learn about the community-college pathway and the option to transfer afterward.</w:t>
      </w:r>
      <w:r>
        <w:t xml:space="preserve"> </w:t>
      </w:r>
      <w:r>
        <w:rPr>
          <w:i/>
        </w:rPr>
        <w:t xml:space="preserve">(Newsletter: Rough Cut newsletter · the AI-built outreach contact list we will email is in</w:t>
      </w:r>
      <w:r>
        <w:rPr>
          <w:i/>
        </w:rPr>
        <w:t xml:space="preserve"> </w:t>
      </w:r>
      <w:hyperlink r:id="rId45">
        <w:r>
          <w:rPr>
            <w:rStyle w:val="Hyperlink"/>
            <w:i/>
          </w:rPr>
          <w:t xml:space="preserve">this spreadsheet</w:t>
        </w:r>
      </w:hyperlink>
      <w:r>
        <w:rPr>
          <w:i/>
        </w:rPr>
        <w:t xml:space="preserve">.)</w:t>
      </w:r>
    </w:p>
    <w:p>
      <w:pPr>
        <w:pStyle w:val="BodyText"/>
      </w:pPr>
      <w:r>
        <w:rPr>
          <w:b/>
        </w:rPr>
        <w:t xml:space="preserve">AVC 248 capstone redesign and the assessment backbone.</w:t>
      </w:r>
      <w:r>
        <w:t xml:space="preserve"> </w:t>
      </w:r>
      <w:r>
        <w:t xml:space="preserve">This cycle I redesigned the AVC 248 Design Self Promotion capstone into an AI-powered course, and it is the clearest evidence of the AI fluency this FEP is about applied directly to a course. The redesign came from a real classroom observation: my students had always done the pieces of career launch, resumes, job research, contracts, and interview prep, but scattered across separate documents and discussion boards rather than in one place. When I let them experiment with AI on a few assignments, such as drafting a client contract or tailoring the resume they had written to a job they had researched, the results came back high-level but the students enjoyed the experience, and that is what led me to pull the whole course together into Render. In the redesigned course students learn applied AI literacy, use Render across the semester, and finish by building a portable career agent aligned to a real reach job they keep after the course. On status: the course is built and ready, but students have not used Render yet, and the Fall 2026 pilot will be the first time. New course development this cycle includes an AI-literacy unit up front, weekly slide decks, a guided goals builder, a Module 9</w:t>
      </w:r>
      <w:r>
        <w:t xml:space="preserve"> </w:t>
      </w:r>
      <w:r>
        <w:t xml:space="preserve">“</w:t>
      </w:r>
      <w:r>
        <w:t xml:space="preserve">Build Your Career Agent</w:t>
      </w:r>
      <w:r>
        <w:t xml:space="preserve">”</w:t>
      </w:r>
      <w:r>
        <w:t xml:space="preserve"> </w:t>
      </w:r>
      <w:r>
        <w:t xml:space="preserve">capstone, and example career agents I built from my Render personas. The pedagogy is connectivism in practice, and the design keeps student privacy by design, with no personally identifiable information going into the AI. On the assessment side, the course integrates the Render prototype, which is built around a formal career-launch skills taxonomy I authored. That taxonomy is the assessment backbone: every Render module maps to a defined competency, so the tool doubles as a way to track student progress against the capstone’s career-readiness outcomes.</w:t>
      </w:r>
      <w:r>
        <w:t xml:space="preserve"> </w:t>
      </w:r>
      <w:r>
        <w:rPr>
          <w:i/>
        </w:rPr>
        <w:t xml:space="preserve">(Render overview:</w:t>
      </w:r>
      <w:r>
        <w:rPr>
          <w:i/>
        </w:rPr>
        <w:t xml:space="preserve"> </w:t>
      </w:r>
      <w:hyperlink r:id="rId46">
        <w:r>
          <w:rPr>
            <w:rStyle w:val="Hyperlink"/>
            <w:i/>
          </w:rPr>
          <w:t xml:space="preserve">view the Render overview</w:t>
        </w:r>
      </w:hyperlink>
      <w:r>
        <w:rPr>
          <w:i/>
        </w:rPr>
        <w:t xml:space="preserve">.)</w:t>
      </w:r>
    </w:p>
    <w:p>
      <w:pPr>
        <w:pStyle w:val="BodyText"/>
      </w:pPr>
      <w:r>
        <w:rPr>
          <w:b/>
        </w:rPr>
        <w:t xml:space="preserve">Reflection.</w:t>
      </w:r>
      <w:r>
        <w:t xml:space="preserve"> </w:t>
      </w:r>
      <w:r>
        <w:t xml:space="preserve">What I learned across this assessment and program-development work is that a program’s health depends as much on enrollment design and student support as on course content. Streamlining the graphic design sequence to the district-shared courses, building stackable on-ramps, and rebuilding our front-door course all came from reading the data on where students stall or never arrive, not from a content wish list. I am applying that in my program management by treating curriculum decisions as enrollment and equity decisions, and by designing courses and assessments (the new quizzes, the Render skills taxonomy) so a change is measurable and I can tell whether it worked. At the district level the same habit, assess and then revise against evidence, is what I bring to the ARC student-journey study. Where I am going next is to measure the AVC 100 redesign against its success-rate baseline this fall and let that result drive the next round of revision.</w:t>
      </w:r>
    </w:p>
    <w:p>
      <w:pPr>
        <w:pStyle w:val="Heading2"/>
      </w:pPr>
      <w:bookmarkStart w:id="47" w:name="Xef8881fffaee1945e1919348aed0c6777221c4e"/>
      <w:r>
        <w:t xml:space="preserve">Required Area · Governance and/or Committee Participation</w:t>
      </w:r>
      <w:bookmarkEnd w:id="47"/>
    </w:p>
    <w:p>
      <w:pPr>
        <w:pStyle w:val="FirstParagraph"/>
      </w:pPr>
      <w:r>
        <w:rPr>
          <w:b/>
        </w:rPr>
        <w:t xml:space="preserve">eCourses committee (my required committee).</w:t>
      </w:r>
      <w:r>
        <w:t xml:space="preserve"> </w:t>
      </w:r>
      <w:r>
        <w:t xml:space="preserve">My required committee assignment is</w:t>
      </w:r>
      <w:r>
        <w:t xml:space="preserve"> </w:t>
      </w:r>
      <w:r>
        <w:rPr>
          <w:b/>
        </w:rPr>
        <w:t xml:space="preserve">eCourses</w:t>
      </w:r>
      <w:r>
        <w:t xml:space="preserve">, GCC’s committee for online course quality and accessibility (2024 and 2026; in 2025, when a department colleague took the eCourses seat, I served on the</w:t>
      </w:r>
      <w:r>
        <w:t xml:space="preserve"> </w:t>
      </w:r>
      <w:r>
        <w:rPr>
          <w:b/>
        </w:rPr>
        <w:t xml:space="preserve">Open Educational Resources (OER)</w:t>
      </w:r>
      <w:r>
        <w:t xml:space="preserve"> </w:t>
      </w:r>
      <w:r>
        <w:t xml:space="preserve">committee instead, and at the January 2026 Convocation I received a</w:t>
      </w:r>
      <w:r>
        <w:t xml:space="preserve"> </w:t>
      </w:r>
      <w:r>
        <w:rPr>
          <w:b/>
        </w:rPr>
        <w:t xml:space="preserve">Gaucho Globe Award</w:t>
      </w:r>
      <w:r>
        <w:t xml:space="preserve"> </w:t>
      </w:r>
      <w:r>
        <w:t xml:space="preserve">for my OER contributions). This year the committee’s work centered on accessibility. The federal digital-accessibility mandate, originally due at the end of April 2026 and since rescheduled to April 2027, was the major push of the year: I went through all of my own online courses to bring them into compliance and offered to help colleagues in my department do the same. Because that work was the priority, eCourses did not run its usual peer course-review cycle this year.</w:t>
      </w:r>
    </w:p>
    <w:p>
      <w:pPr>
        <w:pStyle w:val="BodyText"/>
      </w:pPr>
      <w:r>
        <w:t xml:space="preserve">Through eCourses I have also served as an OSCQR peer reviewer for many years, almost every year a review cycle ran, and often as lead reviewer, with a small stipend for the work. It is work I enjoy: a structured, collegial look at whether an online course is clear, accessible, and well designed for students. A concrete example from Spring 2024: as Team 4, I served as Instructional Designer and lead reviewer alongside reviewer Lisa Moore, reviewing HCR210 (taught by Melissa Williams). Where I would like to see this work go is an expansion of the model to in-person courses, not only online ones. We scrutinize online courses closely, but face-to-face courses would benefit from the same structured review, including a look at whether active-learning and other classroom methods would strengthen them. It would also fill a real gap: faculty in their first five-year probationary period receive steady peer and supervisor feedback, but once they become residential faculty there is no standing way to ask to have a course or one’s teaching reviewed. I believe faculty would welcome that opportunity the way they already welcome having their online courses reviewed.</w:t>
      </w:r>
    </w:p>
    <w:p>
      <w:pPr>
        <w:pStyle w:val="BodyText"/>
      </w:pPr>
      <w:r>
        <w:t xml:space="preserve">My larger service commitments this cycle, beyond this required committee, are described below.</w:t>
      </w:r>
    </w:p>
    <w:p>
      <w:pPr>
        <w:pStyle w:val="BodyText"/>
      </w:pPr>
      <w:r>
        <w:rPr>
          <w:b/>
        </w:rPr>
        <w:t xml:space="preserve">Maricopa District AI Resource Committee (the ARC), Co-Chair, Domain 5: Student Support and Success (2026–present).</w:t>
      </w:r>
    </w:p>
    <w:p>
      <w:pPr>
        <w:pStyle w:val="BodyText"/>
      </w:pPr>
      <w:r>
        <w:t xml:space="preserve">First, what the ARC is, because it is a substantial district resource the college should be tapping into. The ARC is Maricopa’s standing AI committee, and it is not a top-down body that tells the colleges what to do. It is a self-governing resource for the entire district, built to help all ten colleges lead in artificial intelligence rather than duplicate one another’s effort. It runs on a tri-chair model: Sonal Joshi, the district’s AI Director in the OIT/IT division, who came to Maricopa from a director role at Intel, with Gordon Inman (Rio Salado College) and Kaitlin Southerly (South Mountain Community College) as the two faculty tri-chairs on full-time district-office contracts. Beneath that leadership sit five domains, each run by co-chairs and collaborators with every college represented, so the work is truly cross-college rather than handed down: Strategy, Security and Governance; Teaching and Learning; Operational Efficiency and Employee Training; AI Credentials; and Student Support and Success. AI pilots are encouraged, the tri-chairs are there to help meet the real AI needs faculty and staff have, and a core purpose of the committee is to keep the ten campuses from reinventing the same wheel. The leadership meets every other week, even through the summer, and each domain meets every other week as well; information is shared openly and domains cross over where it helps, for example in building shared trainings. In short, it is a wealth of resources and brainpower already steering the district on AI, and any college AI effort would be stronger plugged into it.</w:t>
      </w:r>
      <w:r>
        <w:t xml:space="preserve"> </w:t>
      </w:r>
      <w:r>
        <w:rPr>
          <w:i/>
        </w:rPr>
        <w:t xml:space="preserve">(GCC already has strong representation across the ARC: beyond me as Student Support and Success co-chair, Jordan Beveridge, our CIO, and Drew Nichols, Cyber Lead, serve on Strategy, Security and Governance; Rachelle Hall, Faculty Chair, on Operational Efficiency and Employee Training; and Rodney Gemoll, Instructional Design Technologist, on Teaching and Learning. Five GCC colleagues are already at the table across four domains.)</w:t>
      </w:r>
    </w:p>
    <w:p>
      <w:pPr>
        <w:pStyle w:val="BodyText"/>
      </w:pPr>
      <w:r>
        <w:t xml:space="preserve">I co-chair Domain 5 with Ralph Thompson, Manager of CARE and Conduct at South Mountain Community College, charged with finding where AI can responsibly improve the non-classroom student services that drive retention and completion, across all 10 Maricopa colleges and roughly 140,000 students. The domain’s scope is the student journey outside the classroom: advising, counseling, financial aid, enrollment, registration, persistence, and student well-being. I co-chair this one domain; the whole ARC is led by the tri-chairs above.</w:t>
      </w:r>
    </w:p>
    <w:p>
      <w:pPr>
        <w:pStyle w:val="BodyText"/>
      </w:pPr>
      <w:r>
        <w:t xml:space="preserve">This is the largest service commitment of the cycle. Because most of the domain’s members cannot regularly attend meetings, I have designed the methodology and produced the deliverables the group builds on. The methodology runs in three phases:</w:t>
      </w:r>
    </w:p>
    <w:p>
      <w:pPr>
        <w:numPr>
          <w:ilvl w:val="0"/>
          <w:numId w:val="1008"/>
        </w:numPr>
        <w:pStyle w:val="Compact"/>
      </w:pPr>
      <w:r>
        <w:rPr>
          <w:b/>
        </w:rPr>
        <w:t xml:space="preserve">Phase one, map the landscape.</w:t>
      </w:r>
      <w:r>
        <w:t xml:space="preserve"> </w:t>
      </w:r>
      <w:r>
        <w:t xml:space="preserve">A service inventory and cross-college crosswalk that documents how the same student-facing function is named differently at each of the 10 colleges, paired with a usage baseline: how many of the roughly 140,000 students actually use each service, and how departments believe students find them versus how students really do.</w:t>
      </w:r>
    </w:p>
    <w:p>
      <w:pPr>
        <w:numPr>
          <w:ilvl w:val="0"/>
          <w:numId w:val="1008"/>
        </w:numPr>
        <w:pStyle w:val="Compact"/>
      </w:pPr>
      <w:r>
        <w:rPr>
          <w:b/>
        </w:rPr>
        <w:t xml:space="preserve">Phase two, study the journey.</w:t>
      </w:r>
      <w:r>
        <w:t xml:space="preserve"> </w:t>
      </w:r>
      <w:r>
        <w:t xml:space="preserve">Usability studies and staff workflow audits. Research personas walk the full student journey from application through graduation at all 10 colleges, capturing barriers and rating their severity. The study is built around real personas and a structured capture instrument.</w:t>
      </w:r>
    </w:p>
    <w:p>
      <w:pPr>
        <w:numPr>
          <w:ilvl w:val="0"/>
          <w:numId w:val="1008"/>
        </w:numPr>
        <w:pStyle w:val="Compact"/>
      </w:pPr>
      <w:r>
        <w:rPr>
          <w:b/>
        </w:rPr>
        <w:t xml:space="preserve">Phase three, build the roadmap.</w:t>
      </w:r>
      <w:r>
        <w:t xml:space="preserve"> </w:t>
      </w:r>
      <w:r>
        <w:t xml:space="preserve">Turn the documented barriers into a prioritized, human-in-the-loop AI roadmap, with pilots co-designed with the staff and students who would use them.</w:t>
      </w:r>
    </w:p>
    <w:p>
      <w:pPr>
        <w:pStyle w:val="FirstParagraph"/>
      </w:pPr>
      <w:r>
        <w:t xml:space="preserve">Two principles hold the work together. The first is data sovereignty: I prefer building tools that collect no personally identifiable information over buying ones that do. The district already declined a vendor AI add-on specifically because it would collect student data, which is why building no-data tools is the responsible default. The second is staff buy-in. The domain’s members are advisors, financial-aid staff, and other support staff, and the work has to make their jobs easier, not threaten them. Automation here takes routine, repetitive work off their plates, the easy factual questions and the</w:t>
      </w:r>
      <w:r>
        <w:t xml:space="preserve"> </w:t>
      </w:r>
      <w:r>
        <w:t xml:space="preserve">“</w:t>
      </w:r>
      <w:r>
        <w:t xml:space="preserve">we will get back to you in a few days</w:t>
      </w:r>
      <w:r>
        <w:t xml:space="preserve">”</w:t>
      </w:r>
      <w:r>
        <w:t xml:space="preserve"> </w:t>
      </w:r>
      <w:r>
        <w:t xml:space="preserve">booking email, so they can focus on the individual problems and the human connection that only a person can provide. No one is replaced.</w:t>
      </w:r>
    </w:p>
    <w:p>
      <w:pPr>
        <w:pStyle w:val="BodyText"/>
      </w:pPr>
      <w:r>
        <w:t xml:space="preserve">The rollout follows from the study. Once the UX work identifies where the barriers actually are, the domain prioritizes them into AI opportunities and pilots that roll out across the colleges, with anything outside AI’s scope routed to the right body. The study is in design and pilot stage; nothing is in production yet. The public case study for this work is online:</w:t>
      </w:r>
      <w:r>
        <w:t xml:space="preserve"> </w:t>
      </w:r>
      <w:hyperlink r:id="rId48">
        <w:r>
          <w:rPr>
            <w:rStyle w:val="Hyperlink"/>
          </w:rPr>
          <w:t xml:space="preserve">view the case study</w:t>
        </w:r>
      </w:hyperlink>
      <w:r>
        <w:t xml:space="preserve">.</w:t>
      </w:r>
    </w:p>
    <w:p>
      <w:pPr>
        <w:pStyle w:val="BodyText"/>
      </w:pPr>
      <w:r>
        <w:rPr>
          <w:b/>
        </w:rPr>
        <w:t xml:space="preserve">AI Community of Practice, GCC (launching Fall 2026).</w:t>
      </w:r>
      <w:r>
        <w:t xml:space="preserve"> </w:t>
      </w:r>
      <w:r>
        <w:t xml:space="preserve">I developed, in partnership with the Center for Teaching, Learning and Engagement, a monthly AI Community of Practice launching Fall 2026 with a kickoff during Accountability Week. It is open to any early adopter of AI on campus, faculty, staff, and administrators alike, not just faculty. Its goal is not to train people; it is a place for power users to share what is actually working with one another. Each session has a focused topic and a show-and-tell, and the intent is to surface the AI use already happening informally across campus and build shared knowledge. I expect we will collaborate on presenting some trainings through the CTLE, and support the campus technology committee (TAC), which has been assigned AI, but training is a likely byproduct rather than the purpose.</w:t>
      </w:r>
    </w:p>
    <w:p>
      <w:pPr>
        <w:pStyle w:val="BodyText"/>
      </w:pPr>
      <w:r>
        <w:rPr>
          <w:b/>
        </w:rPr>
        <w:t xml:space="preserve">Faculty AI Advisory Committee proposal (2026).</w:t>
      </w:r>
      <w:r>
        <w:t xml:space="preserve"> </w:t>
      </w:r>
      <w:r>
        <w:t xml:space="preserve">I authored a formal proposal, with supporting research, for a campus-wide faculty AI advisory committee, submitted through college governance. Although it was not adopted as a standalone committee, it is the origin of the district and CTLE work above, and the proposal document itself stands as evidence of early, structured thinking about faculty AI governance.</w:t>
      </w:r>
      <w:r>
        <w:t xml:space="preserve"> </w:t>
      </w:r>
      <w:r>
        <w:rPr>
          <w:i/>
        </w:rPr>
        <w:t xml:space="preserve">(Proposal document:</w:t>
      </w:r>
      <w:r>
        <w:rPr>
          <w:i/>
        </w:rPr>
        <w:t xml:space="preserve"> </w:t>
      </w:r>
      <w:hyperlink r:id="rId49">
        <w:r>
          <w:rPr>
            <w:rStyle w:val="Hyperlink"/>
            <w:i/>
          </w:rPr>
          <w:t xml:space="preserve">view here</w:t>
        </w:r>
      </w:hyperlink>
      <w:r>
        <w:rPr>
          <w:i/>
        </w:rPr>
        <w:t xml:space="preserve">.)</w:t>
      </w:r>
    </w:p>
    <w:p>
      <w:pPr>
        <w:pStyle w:val="BodyText"/>
      </w:pPr>
      <w:r>
        <w:rPr>
          <w:b/>
        </w:rPr>
        <w:t xml:space="preserve">Curriculum work through governance.</w:t>
      </w:r>
      <w:r>
        <w:t xml:space="preserve"> </w:t>
      </w:r>
      <w:r>
        <w:t xml:space="preserve">I am moving a new UX Design course for the Digital Media Arts curriculum through the college’s curriculum approval process, the curriculum committee and Instructional Council. It is in process now, not yet approved. This is hands-on governance work: shepherding a course proposal through the bodies that review and approve curriculum changes.</w:t>
      </w:r>
    </w:p>
    <w:p>
      <w:pPr>
        <w:pStyle w:val="BodyText"/>
      </w:pPr>
      <w:r>
        <w:rPr>
          <w:b/>
        </w:rPr>
        <w:t xml:space="preserve">PARC, the faculty tenure committee.</w:t>
      </w:r>
      <w:r>
        <w:t xml:space="preserve"> </w:t>
      </w:r>
      <w:r>
        <w:t xml:space="preserve">I have served on PARC, which reviews probationary faculty each year and makes renewal recommendations, almost every year since I became residential faculty, missing only one. It is substantial governance work: evaluating colleagues’ progress toward tenure and making recommendations that shape the department’s future faculty.</w:t>
      </w:r>
    </w:p>
    <w:p>
      <w:pPr>
        <w:pStyle w:val="BodyText"/>
      </w:pPr>
      <w:r>
        <w:rPr>
          <w:b/>
        </w:rPr>
        <w:t xml:space="preserve">Basic Needs Committee, GCC.</w:t>
      </w:r>
      <w:r>
        <w:t xml:space="preserve"> </w:t>
      </w:r>
      <w:r>
        <w:t xml:space="preserve">I serve on the GCC Basic Needs Committee, which is determining how the new building, the former bookstore, will be used and how its decor and brand will work. The committee’s problem was real, a new basic-needs space with no funded way to brand or decorate it, and I solved it by reaching across silos: I brought my Digital Media Arts students in to paint the murals and develop the brand, funded through an approved AmeriCorps internship I helped secure by working it out with Stacy Moreno. It is a clear win-win. The college gets professional creative work it could not otherwise pay for, and my students get real applied, paid, student-facing work tied directly to their program on an active campus initiative.</w:t>
      </w:r>
    </w:p>
    <w:p>
      <w:pPr>
        <w:pStyle w:val="BodyText"/>
      </w:pPr>
      <w:r>
        <w:rPr>
          <w:b/>
        </w:rPr>
        <w:t xml:space="preserve">CopaMigo, a student-services routing prototype (college evaluation).</w:t>
      </w:r>
      <w:r>
        <w:t xml:space="preserve"> </w:t>
      </w:r>
      <w:r>
        <w:t xml:space="preserve">A second college concern is that students often do not reach the student-services help that already exists, because they do not know what to call what they need. Out of my Student Support and Success domain work I built CopaMigo, a bilingual routing prototype: a student describes a situation in plain language, in English or one of several built-in languages, and CopaMigo routes them to the right campus service with a warm handoff card showing the contact, hours, location, and exactly what to ask for. It routes across 14 service modules using more than 100 verified GCC URLs, leads with empathy, includes a warm handoff for students in crisis, and collects no personally identifiable information, which matters because the district already declined a vendor AI add-on specifically because it collected student data. I am working with Genesis Toole and Eric Pawelski to evaluate whether it could serve students better than the website’s current automated chatbot. CopaMigo is an early prototype in testing, so this remains an exploration toward whatever serves students best, not a decision to adopt.</w:t>
      </w:r>
      <w:r>
        <w:t xml:space="preserve"> </w:t>
      </w:r>
      <w:r>
        <w:rPr>
          <w:i/>
        </w:rPr>
        <w:t xml:space="preserve">(Live tool:</w:t>
      </w:r>
      <w:r>
        <w:rPr>
          <w:i/>
        </w:rPr>
        <w:t xml:space="preserve"> </w:t>
      </w:r>
      <w:hyperlink r:id="rId50">
        <w:r>
          <w:rPr>
            <w:rStyle w:val="Hyperlink"/>
            <w:i/>
          </w:rPr>
          <w:t xml:space="preserve">copamigo</w:t>
        </w:r>
      </w:hyperlink>
      <w:r>
        <w:rPr>
          <w:i/>
        </w:rPr>
        <w:t xml:space="preserve">.)</w:t>
      </w:r>
    </w:p>
    <w:p>
      <w:pPr>
        <w:pStyle w:val="BodyText"/>
      </w:pPr>
      <w:r>
        <w:rPr>
          <w:b/>
        </w:rPr>
        <w:t xml:space="preserve">Rough Cut, the Digital Media Arts newsletter and feeder-school outreach.</w:t>
      </w:r>
      <w:r>
        <w:t xml:space="preserve"> </w:t>
      </w:r>
      <w:r>
        <w:t xml:space="preserve">I built Rough Cut, a recruitment and relationship newsletter aimed at the feeder high schools that send us students. Using AI I built a large research and contact spreadsheet covering 36-plus feeder high schools across 8 districts, targeting the specific people who reach creative students (art teachers, yearbook advisors, CTE coordinators, and counselors), and I deliberately scoped the geography to our service region, excluding schools served by other colleges. The newsletter and the contact pipeline (a visit form that routes inquiries to dmarts@gccaz.edu) are built; the first issue is intentionally held for August, when I meet with colleagues Jeannie and Casey and the Agua Fria district CTE Director to finalize how we reach high school CTE teachers.</w:t>
      </w:r>
      <w:r>
        <w:t xml:space="preserve"> </w:t>
      </w:r>
      <w:r>
        <w:rPr>
          <w:i/>
        </w:rPr>
        <w:t xml:space="preserve">(Newsletter: Rough Cut newsletter ·</w:t>
      </w:r>
      <w:r>
        <w:rPr>
          <w:i/>
        </w:rPr>
        <w:t xml:space="preserve"> </w:t>
      </w:r>
      <w:hyperlink r:id="rId45">
        <w:r>
          <w:rPr>
            <w:rStyle w:val="Hyperlink"/>
            <w:i/>
          </w:rPr>
          <w:t xml:space="preserve">outreach contact spreadsheet</w:t>
        </w:r>
      </w:hyperlink>
      <w:r>
        <w:rPr>
          <w:i/>
        </w:rPr>
        <w:t xml:space="preserve">.)</w:t>
      </w:r>
      <w:r>
        <w:t xml:space="preserve"> </w:t>
      </w:r>
      <w:r>
        <w:t xml:space="preserve">The purpose is student access and affordability: private and for-profit institutions recruit aggressively in area high schools, often before students learn about the more affordable community-college pathway, and Rough Cut builds the relationships that make sure students know they have a choice.</w:t>
      </w:r>
    </w:p>
    <w:p>
      <w:pPr>
        <w:pStyle w:val="BodyText"/>
      </w:pPr>
      <w:r>
        <w:rPr>
          <w:b/>
        </w:rPr>
        <w:t xml:space="preserve">Service well beyond my required committee.</w:t>
      </w:r>
      <w:r>
        <w:t xml:space="preserve"> </w:t>
      </w:r>
      <w:r>
        <w:t xml:space="preserve">Although only one committee is required, this cycle I also carried substantial additional service: the</w:t>
      </w:r>
      <w:r>
        <w:t xml:space="preserve"> </w:t>
      </w:r>
      <w:r>
        <w:rPr>
          <w:b/>
        </w:rPr>
        <w:t xml:space="preserve">ARC Student Support and Success domain</w:t>
      </w:r>
      <w:r>
        <w:t xml:space="preserve"> </w:t>
      </w:r>
      <w:r>
        <w:t xml:space="preserve">as co-chair, a district effort that is not a formal campus committee assignment and is my single largest service commitment (described in detail above);</w:t>
      </w:r>
      <w:r>
        <w:t xml:space="preserve"> </w:t>
      </w:r>
      <w:r>
        <w:rPr>
          <w:b/>
        </w:rPr>
        <w:t xml:space="preserve">alternate faculty representative to Instructional Council</w:t>
      </w:r>
      <w:r>
        <w:t xml:space="preserve">, where I also shepherd curriculum proposals; and service as an</w:t>
      </w:r>
      <w:r>
        <w:t xml:space="preserve"> </w:t>
      </w:r>
      <w:r>
        <w:rPr>
          <w:b/>
        </w:rPr>
        <w:t xml:space="preserve">eCourses lead reviewer</w:t>
      </w:r>
      <w:r>
        <w:t xml:space="preserve"> </w:t>
      </w:r>
      <w:r>
        <w:t xml:space="preserve">(OSCQR). I am also alternate faculty advisor for the GCC Art Club and have helped with its mural work. On the Math building mural, which Mitch Mantle led, I used my prior mural experience to get the design onto the wall and filled in for Mitch on the project a few times beyond that.</w:t>
      </w:r>
    </w:p>
    <w:p>
      <w:pPr>
        <w:pStyle w:val="BodyText"/>
      </w:pPr>
      <w:r>
        <w:rPr>
          <w:b/>
        </w:rPr>
        <w:t xml:space="preserve">Reflection.</w:t>
      </w:r>
      <w:r>
        <w:t xml:space="preserve"> </w:t>
      </w:r>
      <w:r>
        <w:t xml:space="preserve">What I learned from this service is that committees do their best work when someone turns talk into something concrete to react to, and that is the role I have tried to play, whether building the methodology for the Student Support and Success domain or bringing my students’ design work into the Basic Needs hub. I also learned the limits of volunteer committees whose members cannot always attend, and that doing the early build yourself is often how you keep a group moving and give it something real to shape. I am applying this in my program management by reaching across silos to connect academic work with student-services initiatives, and in my district work by building shared, no-PII methods that other colleges can actually adopt. Where I am going is to move the SSS study from findings to pilots, sustain the AI Community of Practice, and mentor faculty and staff in building their own agents, so the work outlasts any single committee term.</w:t>
      </w:r>
    </w:p>
    <w:p>
      <w:pPr>
        <w:pStyle w:val="Heading2"/>
      </w:pPr>
      <w:bookmarkStart w:id="51" w:name="elective-area-professional-development"/>
      <w:r>
        <w:t xml:space="preserve">Elective Area · Professional Development</w:t>
      </w:r>
      <w:bookmarkEnd w:id="51"/>
    </w:p>
    <w:p>
      <w:pPr>
        <w:pStyle w:val="FirstParagraph"/>
      </w:pPr>
      <w:r>
        <w:t xml:space="preserve">My AI professional development began earlier in the cycle, with a prompt engineering course through Purdue University Online in 2024 and a year of using ChatGPT in my own work. In January 2026 I committed to working with AI seriously and daily, and the first thing I built was</w:t>
      </w:r>
      <w:r>
        <w:t xml:space="preserve"> </w:t>
      </w:r>
      <w:r>
        <w:rPr>
          <w:b/>
        </w:rPr>
        <w:t xml:space="preserve">Cultivate</w:t>
      </w:r>
      <w:r>
        <w:t xml:space="preserve">, a personal learning environment where I put everything I had been saving into one organized, offline-first place: a multi-year PD plan, conference and career notes, and a curated news feed across AI in education, EdTech, student success, and UX. Cultivate was how I went all in, one place to learn from, grounded in my 2017 graduate research on connectivism and personal learning environments.</w:t>
      </w:r>
      <w:r>
        <w:t xml:space="preserve"> </w:t>
      </w:r>
      <w:r>
        <w:rPr>
          <w:i/>
        </w:rPr>
        <w:t xml:space="preserve">(Live tool:</w:t>
      </w:r>
      <w:r>
        <w:rPr>
          <w:i/>
        </w:rPr>
        <w:t xml:space="preserve"> </w:t>
      </w:r>
      <w:hyperlink r:id="rId52">
        <w:r>
          <w:rPr>
            <w:rStyle w:val="Hyperlink"/>
            <w:i/>
          </w:rPr>
          <w:t xml:space="preserve">cultivate</w:t>
        </w:r>
      </w:hyperlink>
      <w:r>
        <w:rPr>
          <w:i/>
        </w:rPr>
        <w:t xml:space="preserve">.)</w:t>
      </w:r>
    </w:p>
    <w:p>
      <w:pPr>
        <w:pStyle w:val="BodyText"/>
      </w:pPr>
      <w:r>
        <w:t xml:space="preserve">From there, this cycle’s professional development was a deliberate, concentrated investment in AI, chosen because my students need these skills for the workforce and I did not want to teach them secondhand. Completed coursework includes the League for Innovation AI Fellows cohort, the University of Michigan Generative AI as a Learning Design Partner specialization, the Anthropic Academy Teaching AI Fluency Foundations, Purdue University Prompt Engineering, and Google Generative AI Leader training. The informal, practice-situated side mattered just as much: daily use of AI as a working tool, wide reading in the field, and following current research through the curated feed I built into Cultivate. The evaluative stage the Canvas guidance describes is built in, this professional development is being directly tested by whether the tools it produced work in a real classroom in Fall 2026.</w:t>
      </w:r>
    </w:p>
    <w:p>
      <w:pPr>
        <w:pStyle w:val="BodyText"/>
      </w:pPr>
      <w:r>
        <w:t xml:space="preserve">I am also turning this work into scholarship. I authored a practitioner whitepaper,</w:t>
      </w:r>
      <w:r>
        <w:t xml:space="preserve"> </w:t>
      </w:r>
      <w:r>
        <w:t xml:space="preserve">“</w:t>
      </w:r>
      <w:r>
        <w:t xml:space="preserve">From Bookmarks to Agents: A Faculty Practitioner’s Account of Building AI-Powered Learning Tools at a Community College,</w:t>
      </w:r>
      <w:r>
        <w:t xml:space="preserve">”</w:t>
      </w:r>
      <w:r>
        <w:t xml:space="preserve"> </w:t>
      </w:r>
      <w:r>
        <w:t xml:space="preserve">a living document tracing the arc from Cultivate to Render to the agent-building work ahead, intended for a conference or journal once the pilot is complete.</w:t>
      </w:r>
    </w:p>
    <w:p>
      <w:pPr>
        <w:pStyle w:val="Heading3"/>
      </w:pPr>
      <w:bookmarkStart w:id="53" w:name="professional-growth-reflection"/>
      <w:r>
        <w:t xml:space="preserve">Professional growth reflection</w:t>
      </w:r>
      <w:bookmarkEnd w:id="53"/>
    </w:p>
    <w:p>
      <w:pPr>
        <w:pStyle w:val="FirstParagraph"/>
      </w:pPr>
      <w:r>
        <w:t xml:space="preserve">The formal side was substantial, and the full list of coursework, conferences, and reading is below. But the coursework was only half of it. The real learning happened in practice, building Cultivate, Render, CopaMigo, and a suite of agents with AI as a co-developer. What I learned is that my design and instructional-design background reaches much further into building than I expected, and that learning by doing is the most honest way to teach tools my students will actually be asked to use.</w:t>
      </w:r>
    </w:p>
    <w:p>
      <w:pPr>
        <w:pStyle w:val="BodyText"/>
      </w:pPr>
      <w:r>
        <w:t xml:space="preserve">At the same time I kept sharpening the craft of online teaching, which is where most of my Center for Teaching, Learning and Engagement work lives: regular and substantive interaction, accessibility (alt text, captions, Yuja Panorama), engagement strategies, rubric design, and feedback. That work is not separate from the AI work; it is the same goal from another angle. Strengthening presence and feedback in an online studio is exactly what pushed me to rethink how I critique and grade, and it is why my AI tools aim to free time for the timely, human feedback students tell me matters most.</w:t>
      </w:r>
    </w:p>
    <w:p>
      <w:pPr>
        <w:pStyle w:val="BodyText"/>
      </w:pPr>
      <w:r>
        <w:t xml:space="preserve">My reading tied it together and kept it human. Joseph Aoun’s</w:t>
      </w:r>
      <w:r>
        <w:t xml:space="preserve"> </w:t>
      </w:r>
      <w:r>
        <w:t xml:space="preserve">“</w:t>
      </w:r>
      <w:r>
        <w:t xml:space="preserve">Robot-Proof</w:t>
      </w:r>
      <w:r>
        <w:t xml:space="preserve">”</w:t>
      </w:r>
      <w:r>
        <w:t xml:space="preserve"> </w:t>
      </w:r>
      <w:r>
        <w:t xml:space="preserve">sharpened why I teach what I teach, the durable human skills AI cannot replace. Steve Krug’s</w:t>
      </w:r>
      <w:r>
        <w:t xml:space="preserve"> </w:t>
      </w:r>
      <w:r>
        <w:t xml:space="preserve">“</w:t>
      </w:r>
      <w:r>
        <w:t xml:space="preserve">Don’t Make Me Think</w:t>
      </w:r>
      <w:r>
        <w:t xml:space="preserve">”</w:t>
      </w:r>
      <w:r>
        <w:t xml:space="preserve"> </w:t>
      </w:r>
      <w:r>
        <w:t xml:space="preserve">and Shedroff and Noessel’s</w:t>
      </w:r>
      <w:r>
        <w:t xml:space="preserve"> </w:t>
      </w:r>
      <w:r>
        <w:t xml:space="preserve">“</w:t>
      </w:r>
      <w:r>
        <w:t xml:space="preserve">Make It So</w:t>
      </w:r>
      <w:r>
        <w:t xml:space="preserve">”</w:t>
      </w:r>
      <w:r>
        <w:t xml:space="preserve"> </w:t>
      </w:r>
      <w:r>
        <w:t xml:space="preserve">shaped the usability and interaction design of the tools I built and the new UX course I am proposing. Anna Lembke’s</w:t>
      </w:r>
      <w:r>
        <w:t xml:space="preserve"> </w:t>
      </w:r>
      <w:r>
        <w:t xml:space="preserve">“</w:t>
      </w:r>
      <w:r>
        <w:t xml:space="preserve">Dopamine Nation</w:t>
      </w:r>
      <w:r>
        <w:t xml:space="preserve">”</w:t>
      </w:r>
      <w:r>
        <w:t xml:space="preserve"> </w:t>
      </w:r>
      <w:r>
        <w:t xml:space="preserve">gave me the behavioral-design insight behind Cultivate, replacing a doom-scroll habit with something intentional, and it informs how I think about student attention. Jeanette Winterson’s</w:t>
      </w:r>
      <w:r>
        <w:t xml:space="preserve"> </w:t>
      </w:r>
      <w:r>
        <w:t xml:space="preserve">“</w:t>
      </w:r>
      <w:r>
        <w:t xml:space="preserve">12 Bytes</w:t>
      </w:r>
      <w:r>
        <w:t xml:space="preserve">”</w:t>
      </w:r>
      <w:r>
        <w:t xml:space="preserve"> </w:t>
      </w:r>
      <w:r>
        <w:t xml:space="preserve">kept the ethical, humanistic lens on all of it. Underneath everything sits connectivism, from my 2017 graduate research: learning as a network you build and tend, with AI as scaffolding, never a replacement for the thinking.</w:t>
      </w:r>
    </w:p>
    <w:p>
      <w:pPr>
        <w:pStyle w:val="BodyText"/>
      </w:pPr>
      <w:r>
        <w:t xml:space="preserve">How I grew is simple to say and took real work to earn. I came into this cycle a designer and instructional designer, and I am leaving it someone who builds AI tools and agents, helps lead on AI at the college and district, and can teach others to do the same. I am applying it across my work: in the AVC 248 capstone and the AVC 100 redesign, in the new UX course, in the district Student Support and Success study, and soon in the AI Community of Practice and in mentoring student-services staff to build their own agents. Where I am going is to keep this a living practice rather than a finished project, and to keep sharing it so the learning multiplies beyond me. Through all of it, my priority is student success. Learning AI, and helping colleagues and students do their work and their schooling better with it, matters to me because it serves that end: students who feel supported, stay enrolled, and finish.</w:t>
      </w:r>
    </w:p>
    <w:p>
      <w:pPr>
        <w:pStyle w:val="Heading3"/>
      </w:pPr>
      <w:bookmarkStart w:id="54" w:name="what-i-completed-this-cycle"/>
      <w:r>
        <w:t xml:space="preserve">What I completed this cycle</w:t>
      </w:r>
      <w:bookmarkEnd w:id="54"/>
    </w:p>
    <w:p>
      <w:pPr>
        <w:pStyle w:val="FirstParagraph"/>
      </w:pPr>
      <w:r>
        <w:rPr>
          <w:b/>
        </w:rPr>
        <w:t xml:space="preserve">AI and Generative-AI Learning</w:t>
      </w:r>
    </w:p>
    <w:p>
      <w:pPr>
        <w:numPr>
          <w:ilvl w:val="0"/>
          <w:numId w:val="1009"/>
        </w:numPr>
        <w:pStyle w:val="Compact"/>
      </w:pPr>
      <w:r>
        <w:t xml:space="preserve">League for Innovation AI Fellows cohort (eight-week)</w:t>
      </w:r>
    </w:p>
    <w:p>
      <w:pPr>
        <w:numPr>
          <w:ilvl w:val="0"/>
          <w:numId w:val="1009"/>
        </w:numPr>
        <w:pStyle w:val="Compact"/>
      </w:pPr>
      <w:r>
        <w:t xml:space="preserve">University of Michigan, Generative AI as a Learning Design Partner specialization (Coursera)</w:t>
      </w:r>
    </w:p>
    <w:p>
      <w:pPr>
        <w:numPr>
          <w:ilvl w:val="0"/>
          <w:numId w:val="1009"/>
        </w:numPr>
        <w:pStyle w:val="Compact"/>
      </w:pPr>
      <w:r>
        <w:t xml:space="preserve">Anthropic Academy, Teaching AI Fluency Foundations</w:t>
      </w:r>
    </w:p>
    <w:p>
      <w:pPr>
        <w:numPr>
          <w:ilvl w:val="0"/>
          <w:numId w:val="1009"/>
        </w:numPr>
        <w:pStyle w:val="Compact"/>
      </w:pPr>
      <w:r>
        <w:t xml:space="preserve">Purdue University, Prompt Engineering microcredential (2/2025)</w:t>
      </w:r>
    </w:p>
    <w:p>
      <w:pPr>
        <w:numPr>
          <w:ilvl w:val="0"/>
          <w:numId w:val="1009"/>
        </w:numPr>
        <w:pStyle w:val="Compact"/>
      </w:pPr>
      <w:r>
        <w:t xml:space="preserve">Google Generative AI Leader</w:t>
      </w:r>
    </w:p>
    <w:p>
      <w:pPr>
        <w:numPr>
          <w:ilvl w:val="0"/>
          <w:numId w:val="1009"/>
        </w:numPr>
        <w:pStyle w:val="Compact"/>
      </w:pPr>
      <w:r>
        <w:t xml:space="preserve">Google Generative AI for Educators</w:t>
      </w:r>
    </w:p>
    <w:p>
      <w:pPr>
        <w:numPr>
          <w:ilvl w:val="0"/>
          <w:numId w:val="1009"/>
        </w:numPr>
        <w:pStyle w:val="Compact"/>
      </w:pPr>
      <w:r>
        <w:t xml:space="preserve">Google AI Essentials Certificate (Coursera)</w:t>
      </w:r>
    </w:p>
    <w:p>
      <w:pPr>
        <w:numPr>
          <w:ilvl w:val="0"/>
          <w:numId w:val="1009"/>
        </w:numPr>
        <w:pStyle w:val="Compact"/>
      </w:pPr>
      <w:r>
        <w:t xml:space="preserve">EDUCAUSE AI for Instructional Design microcredential (June 2026)</w:t>
      </w:r>
    </w:p>
    <w:p>
      <w:pPr>
        <w:numPr>
          <w:ilvl w:val="0"/>
          <w:numId w:val="1009"/>
        </w:numPr>
        <w:pStyle w:val="Compact"/>
      </w:pPr>
      <w:r>
        <w:t xml:space="preserve">AI for Course Design, CU Boulder (Coursera; in progress)</w:t>
      </w:r>
    </w:p>
    <w:p>
      <w:pPr>
        <w:numPr>
          <w:ilvl w:val="0"/>
          <w:numId w:val="1009"/>
        </w:numPr>
        <w:pStyle w:val="Compact"/>
      </w:pPr>
      <w:r>
        <w:t xml:space="preserve">League AI Hub,</w:t>
      </w:r>
      <w:r>
        <w:t xml:space="preserve"> </w:t>
      </w:r>
      <w:r>
        <w:t xml:space="preserve">“</w:t>
      </w:r>
      <w:r>
        <w:t xml:space="preserve">From Notes to Insights: Using Notebook LM</w:t>
      </w:r>
      <w:r>
        <w:t xml:space="preserve">”</w:t>
      </w:r>
      <w:r>
        <w:t xml:space="preserve"> </w:t>
      </w:r>
      <w:r>
        <w:t xml:space="preserve">(3/2026)</w:t>
      </w:r>
    </w:p>
    <w:p>
      <w:pPr>
        <w:numPr>
          <w:ilvl w:val="0"/>
          <w:numId w:val="1009"/>
        </w:numPr>
        <w:pStyle w:val="Compact"/>
      </w:pPr>
      <w:r>
        <w:t xml:space="preserve">League AI Hub,</w:t>
      </w:r>
      <w:r>
        <w:t xml:space="preserve"> </w:t>
      </w:r>
      <w:r>
        <w:t xml:space="preserve">“</w:t>
      </w:r>
      <w:r>
        <w:t xml:space="preserve">Making AI Work for You: Custom Instructions and Beyond</w:t>
      </w:r>
      <w:r>
        <w:t xml:space="preserve">”</w:t>
      </w:r>
      <w:r>
        <w:t xml:space="preserve"> </w:t>
      </w:r>
      <w:r>
        <w:t xml:space="preserve">(4/2026)</w:t>
      </w:r>
    </w:p>
    <w:p>
      <w:pPr>
        <w:numPr>
          <w:ilvl w:val="0"/>
          <w:numId w:val="1009"/>
        </w:numPr>
        <w:pStyle w:val="Compact"/>
      </w:pPr>
      <w:r>
        <w:t xml:space="preserve">Using GPTZero for Responsible AI Teaching, CTLE (2/2026)</w:t>
      </w:r>
    </w:p>
    <w:p>
      <w:pPr>
        <w:numPr>
          <w:ilvl w:val="0"/>
          <w:numId w:val="1009"/>
        </w:numPr>
        <w:pStyle w:val="Compact"/>
      </w:pPr>
      <w:r>
        <w:t xml:space="preserve">AI for Workflow Round Table Discussion, CTLE (2/2026)</w:t>
      </w:r>
    </w:p>
    <w:p>
      <w:pPr>
        <w:numPr>
          <w:ilvl w:val="0"/>
          <w:numId w:val="1009"/>
        </w:numPr>
        <w:pStyle w:val="Compact"/>
      </w:pPr>
      <w:r>
        <w:t xml:space="preserve">Academic Integrity in the Era of AI (8/2023)</w:t>
      </w:r>
    </w:p>
    <w:p>
      <w:pPr>
        <w:numPr>
          <w:ilvl w:val="0"/>
          <w:numId w:val="1009"/>
        </w:numPr>
        <w:pStyle w:val="Compact"/>
      </w:pPr>
      <w:r>
        <w:t xml:space="preserve">AFIT Higher Ed AI Community of Practice,</w:t>
      </w:r>
      <w:r>
        <w:t xml:space="preserve"> </w:t>
      </w:r>
      <w:r>
        <w:t xml:space="preserve">“</w:t>
      </w:r>
      <w:r>
        <w:t xml:space="preserve">Agentic AI: Where Autonomy Helps (and Hurts)</w:t>
      </w:r>
      <w:r>
        <w:t xml:space="preserve">”</w:t>
      </w:r>
      <w:r>
        <w:t xml:space="preserve"> </w:t>
      </w:r>
      <w:r>
        <w:t xml:space="preserve">(4/2026)</w:t>
      </w:r>
    </w:p>
    <w:p>
      <w:pPr>
        <w:numPr>
          <w:ilvl w:val="0"/>
          <w:numId w:val="1009"/>
        </w:numPr>
        <w:pStyle w:val="Compact"/>
      </w:pPr>
      <w:r>
        <w:t xml:space="preserve">AFIT Higher Ed AI Community of Practice,</w:t>
      </w:r>
      <w:r>
        <w:t xml:space="preserve"> </w:t>
      </w:r>
      <w:r>
        <w:t xml:space="preserve">“</w:t>
      </w:r>
      <w:r>
        <w:t xml:space="preserve">Recruitment to Retention: Using AI Without Losing Trust</w:t>
      </w:r>
      <w:r>
        <w:t xml:space="preserve">”</w:t>
      </w:r>
      <w:r>
        <w:t xml:space="preserve"> </w:t>
      </w:r>
      <w:r>
        <w:t xml:space="preserve">(6/2026)</w:t>
      </w:r>
    </w:p>
    <w:p>
      <w:pPr>
        <w:numPr>
          <w:ilvl w:val="0"/>
          <w:numId w:val="1009"/>
        </w:numPr>
        <w:pStyle w:val="Compact"/>
      </w:pPr>
      <w:r>
        <w:t xml:space="preserve">The Chronicle of Higher Education,</w:t>
      </w:r>
      <w:r>
        <w:t xml:space="preserve"> </w:t>
      </w:r>
      <w:r>
        <w:t xml:space="preserve">“</w:t>
      </w:r>
      <w:r>
        <w:t xml:space="preserve">The Next Evolution of Proactive Advising</w:t>
      </w:r>
      <w:r>
        <w:t xml:space="preserve">”</w:t>
      </w:r>
      <w:r>
        <w:t xml:space="preserve"> </w:t>
      </w:r>
      <w:r>
        <w:t xml:space="preserve">(4/2026)</w:t>
      </w:r>
    </w:p>
    <w:p>
      <w:pPr>
        <w:numPr>
          <w:ilvl w:val="0"/>
          <w:numId w:val="1009"/>
        </w:numPr>
        <w:pStyle w:val="Compact"/>
      </w:pPr>
      <w:r>
        <w:t xml:space="preserve">Microsoft,</w:t>
      </w:r>
      <w:r>
        <w:t xml:space="preserve"> </w:t>
      </w:r>
      <w:r>
        <w:t xml:space="preserve">“</w:t>
      </w:r>
      <w:r>
        <w:t xml:space="preserve">AI in Business: A Faculty Primer for Community College</w:t>
      </w:r>
      <w:r>
        <w:t xml:space="preserve">”</w:t>
      </w:r>
      <w:r>
        <w:t xml:space="preserve"> </w:t>
      </w:r>
      <w:r>
        <w:t xml:space="preserve">(4/2026)</w:t>
      </w:r>
    </w:p>
    <w:p>
      <w:pPr>
        <w:numPr>
          <w:ilvl w:val="0"/>
          <w:numId w:val="1009"/>
        </w:numPr>
        <w:pStyle w:val="Compact"/>
      </w:pPr>
      <w:r>
        <w:t xml:space="preserve">Stanford HAI and SDS Seminar (Mullaney, Yang, Pava, Meinhardt) (4/2026)</w:t>
      </w:r>
    </w:p>
    <w:p>
      <w:pPr>
        <w:numPr>
          <w:ilvl w:val="0"/>
          <w:numId w:val="1009"/>
        </w:numPr>
        <w:pStyle w:val="Compact"/>
      </w:pPr>
      <w:r>
        <w:t xml:space="preserve">“</w:t>
      </w:r>
      <w:r>
        <w:t xml:space="preserve">What Does Student Engagement Look Like in the Age of AI?</w:t>
      </w:r>
      <w:r>
        <w:t xml:space="preserve">”</w:t>
      </w:r>
      <w:r>
        <w:t xml:space="preserve"> </w:t>
      </w:r>
      <w:r>
        <w:t xml:space="preserve">(4/2026)</w:t>
      </w:r>
    </w:p>
    <w:p>
      <w:pPr>
        <w:numPr>
          <w:ilvl w:val="0"/>
          <w:numId w:val="1009"/>
        </w:numPr>
        <w:pStyle w:val="Compact"/>
      </w:pPr>
      <w:r>
        <w:t xml:space="preserve">EAB,</w:t>
      </w:r>
      <w:r>
        <w:t xml:space="preserve"> </w:t>
      </w:r>
      <w:r>
        <w:t xml:space="preserve">“</w:t>
      </w:r>
      <w:r>
        <w:t xml:space="preserve">Preparing New Graduates for an AI-Driven Workforce</w:t>
      </w:r>
      <w:r>
        <w:t xml:space="preserve">”</w:t>
      </w:r>
      <w:r>
        <w:t xml:space="preserve"> </w:t>
      </w:r>
      <w:r>
        <w:t xml:space="preserve">(5/2026)</w:t>
      </w:r>
    </w:p>
    <w:p>
      <w:pPr>
        <w:numPr>
          <w:ilvl w:val="0"/>
          <w:numId w:val="1009"/>
        </w:numPr>
        <w:pStyle w:val="Compact"/>
      </w:pPr>
      <w:r>
        <w:t xml:space="preserve">Designlab,</w:t>
      </w:r>
      <w:r>
        <w:t xml:space="preserve"> </w:t>
      </w:r>
      <w:r>
        <w:t xml:space="preserve">“</w:t>
      </w:r>
      <w:r>
        <w:t xml:space="preserve">AI for Visual Design</w:t>
      </w:r>
      <w:r>
        <w:t xml:space="preserve">”</w:t>
      </w:r>
      <w:r>
        <w:t xml:space="preserve"> </w:t>
      </w:r>
      <w:r>
        <w:t xml:space="preserve">(5/2026)</w:t>
      </w:r>
    </w:p>
    <w:p>
      <w:pPr>
        <w:pStyle w:val="FirstParagraph"/>
      </w:pPr>
      <w:r>
        <w:rPr>
          <w:b/>
        </w:rPr>
        <w:t xml:space="preserve">Teaching and Learning (online pedagogy, RSI, accessibility)</w:t>
      </w:r>
    </w:p>
    <w:p>
      <w:pPr>
        <w:numPr>
          <w:ilvl w:val="0"/>
          <w:numId w:val="1010"/>
        </w:numPr>
        <w:pStyle w:val="Compact"/>
      </w:pPr>
      <w:r>
        <w:t xml:space="preserve">10 Strategies to Create Presence in Your Online Classroom, CTLE (8/2025)</w:t>
      </w:r>
    </w:p>
    <w:p>
      <w:pPr>
        <w:numPr>
          <w:ilvl w:val="0"/>
          <w:numId w:val="1010"/>
        </w:numPr>
        <w:pStyle w:val="Compact"/>
      </w:pPr>
      <w:r>
        <w:t xml:space="preserve">Crafting Wise Feedback, CTLE (8/2025)</w:t>
      </w:r>
    </w:p>
    <w:p>
      <w:pPr>
        <w:numPr>
          <w:ilvl w:val="0"/>
          <w:numId w:val="1010"/>
        </w:numPr>
        <w:pStyle w:val="Compact"/>
      </w:pPr>
      <w:r>
        <w:t xml:space="preserve">Writing the Best Alt Text for Images, CTLE (8/2025)</w:t>
      </w:r>
    </w:p>
    <w:p>
      <w:pPr>
        <w:numPr>
          <w:ilvl w:val="0"/>
          <w:numId w:val="1010"/>
        </w:numPr>
        <w:pStyle w:val="Compact"/>
      </w:pPr>
      <w:r>
        <w:t xml:space="preserve">Accessibility: Captions, CTLE (fall 2025)</w:t>
      </w:r>
    </w:p>
    <w:p>
      <w:pPr>
        <w:numPr>
          <w:ilvl w:val="0"/>
          <w:numId w:val="1010"/>
        </w:numPr>
        <w:pStyle w:val="Compact"/>
      </w:pPr>
      <w:r>
        <w:t xml:space="preserve">Yuja Panorama for Canvas, Levels 1–3, CTLE (fall 2025)</w:t>
      </w:r>
    </w:p>
    <w:p>
      <w:pPr>
        <w:numPr>
          <w:ilvl w:val="0"/>
          <w:numId w:val="1010"/>
        </w:numPr>
        <w:pStyle w:val="Compact"/>
      </w:pPr>
      <w:r>
        <w:t xml:space="preserve">Enhancing Online Engagement: Navigating RSI in the Online Classroom, CTLE (fall 2025)</w:t>
      </w:r>
    </w:p>
    <w:p>
      <w:pPr>
        <w:numPr>
          <w:ilvl w:val="0"/>
          <w:numId w:val="1010"/>
        </w:numPr>
        <w:pStyle w:val="Compact"/>
      </w:pPr>
      <w:r>
        <w:t xml:space="preserve">CTLE RSI Workshop (11/2025)</w:t>
      </w:r>
    </w:p>
    <w:p>
      <w:pPr>
        <w:numPr>
          <w:ilvl w:val="0"/>
          <w:numId w:val="1010"/>
        </w:numPr>
        <w:pStyle w:val="Compact"/>
      </w:pPr>
      <w:r>
        <w:t xml:space="preserve">Teaching in the Wild West, CTLE (4/2025)</w:t>
      </w:r>
    </w:p>
    <w:p>
      <w:pPr>
        <w:numPr>
          <w:ilvl w:val="0"/>
          <w:numId w:val="1010"/>
        </w:numPr>
        <w:pStyle w:val="Compact"/>
      </w:pPr>
      <w:r>
        <w:t xml:space="preserve">Diversity and Inclusion in the Online Classroom, CTLE (9/2024)</w:t>
      </w:r>
    </w:p>
    <w:p>
      <w:pPr>
        <w:numPr>
          <w:ilvl w:val="0"/>
          <w:numId w:val="1010"/>
        </w:numPr>
        <w:pStyle w:val="Compact"/>
      </w:pPr>
      <w:r>
        <w:t xml:space="preserve">Increase Engagement with Padlet, CTLE (1/2024)</w:t>
      </w:r>
    </w:p>
    <w:p>
      <w:pPr>
        <w:numPr>
          <w:ilvl w:val="0"/>
          <w:numId w:val="1010"/>
        </w:numPr>
        <w:pStyle w:val="Compact"/>
      </w:pPr>
      <w:r>
        <w:t xml:space="preserve">Increase Engagement with Perusall, CTLE (1/2024)</w:t>
      </w:r>
    </w:p>
    <w:p>
      <w:pPr>
        <w:numPr>
          <w:ilvl w:val="0"/>
          <w:numId w:val="1010"/>
        </w:numPr>
        <w:pStyle w:val="Compact"/>
      </w:pPr>
      <w:r>
        <w:t xml:space="preserve">The ABCs of Organizing your Canvas Assignments, CTLE (1/2024)</w:t>
      </w:r>
    </w:p>
    <w:p>
      <w:pPr>
        <w:numPr>
          <w:ilvl w:val="0"/>
          <w:numId w:val="1010"/>
        </w:numPr>
        <w:pStyle w:val="Compact"/>
      </w:pPr>
      <w:r>
        <w:t xml:space="preserve">3 Ways to Optimize Your Google Calendar, CTLE (1/2024)</w:t>
      </w:r>
    </w:p>
    <w:p>
      <w:pPr>
        <w:numPr>
          <w:ilvl w:val="0"/>
          <w:numId w:val="1010"/>
        </w:numPr>
        <w:pStyle w:val="Compact"/>
      </w:pPr>
      <w:r>
        <w:t xml:space="preserve">Next Steps with Canvas Studio, CTLE (1/2024)</w:t>
      </w:r>
    </w:p>
    <w:p>
      <w:pPr>
        <w:numPr>
          <w:ilvl w:val="0"/>
          <w:numId w:val="1010"/>
        </w:numPr>
        <w:pStyle w:val="Compact"/>
      </w:pPr>
      <w:r>
        <w:t xml:space="preserve">Canvas: The Student Perspective, CTLE (1/2024)</w:t>
      </w:r>
    </w:p>
    <w:p>
      <w:pPr>
        <w:numPr>
          <w:ilvl w:val="0"/>
          <w:numId w:val="1010"/>
        </w:numPr>
        <w:pStyle w:val="Compact"/>
      </w:pPr>
      <w:r>
        <w:t xml:space="preserve">Getting Started with Miro webinar (8/2024)</w:t>
      </w:r>
    </w:p>
    <w:p>
      <w:pPr>
        <w:numPr>
          <w:ilvl w:val="0"/>
          <w:numId w:val="1010"/>
        </w:numPr>
        <w:pStyle w:val="Compact"/>
      </w:pPr>
      <w:r>
        <w:t xml:space="preserve">OBS tutorial series (8/2024)</w:t>
      </w:r>
    </w:p>
    <w:p>
      <w:pPr>
        <w:numPr>
          <w:ilvl w:val="0"/>
          <w:numId w:val="1010"/>
        </w:numPr>
        <w:pStyle w:val="Compact"/>
      </w:pPr>
      <w:r>
        <w:t xml:space="preserve">Syllabus+, CTLE (8/2024)</w:t>
      </w:r>
    </w:p>
    <w:p>
      <w:pPr>
        <w:numPr>
          <w:ilvl w:val="0"/>
          <w:numId w:val="1010"/>
        </w:numPr>
        <w:pStyle w:val="Compact"/>
      </w:pPr>
      <w:r>
        <w:t xml:space="preserve">Late Policies and Flexibility in Courses, CTLE (8/2024)</w:t>
      </w:r>
    </w:p>
    <w:p>
      <w:pPr>
        <w:numPr>
          <w:ilvl w:val="0"/>
          <w:numId w:val="1010"/>
        </w:numPr>
        <w:pStyle w:val="Compact"/>
      </w:pPr>
      <w:r>
        <w:t xml:space="preserve">Canvas Updates, CTLE (8/2023)</w:t>
      </w:r>
    </w:p>
    <w:p>
      <w:pPr>
        <w:numPr>
          <w:ilvl w:val="0"/>
          <w:numId w:val="1010"/>
        </w:numPr>
        <w:pStyle w:val="Compact"/>
      </w:pPr>
      <w:r>
        <w:t xml:space="preserve">Best Practices for Rubrics, parts 1–3, CTLE (8/2023)</w:t>
      </w:r>
    </w:p>
    <w:p>
      <w:pPr>
        <w:numPr>
          <w:ilvl w:val="0"/>
          <w:numId w:val="1010"/>
        </w:numPr>
        <w:pStyle w:val="Compact"/>
      </w:pPr>
      <w:r>
        <w:t xml:space="preserve">eLearning Accessibility Summit, CTLE (8/2023)</w:t>
      </w:r>
    </w:p>
    <w:p>
      <w:pPr>
        <w:numPr>
          <w:ilvl w:val="0"/>
          <w:numId w:val="1010"/>
        </w:numPr>
        <w:pStyle w:val="Compact"/>
      </w:pPr>
      <w:r>
        <w:t xml:space="preserve">Regular and Substantive Interaction (RSI) in Online and Distance Learning, CTLE (8/2023)</w:t>
      </w:r>
    </w:p>
    <w:p>
      <w:pPr>
        <w:numPr>
          <w:ilvl w:val="0"/>
          <w:numId w:val="1010"/>
        </w:numPr>
        <w:pStyle w:val="Compact"/>
      </w:pPr>
      <w:r>
        <w:t xml:space="preserve">Providing Effective Feedback, CTLE (8/2023)</w:t>
      </w:r>
    </w:p>
    <w:p>
      <w:pPr>
        <w:pStyle w:val="FirstParagraph"/>
      </w:pPr>
      <w:r>
        <w:rPr>
          <w:b/>
        </w:rPr>
        <w:t xml:space="preserve">Open Educational Resources (OER)</w:t>
      </w:r>
    </w:p>
    <w:p>
      <w:pPr>
        <w:numPr>
          <w:ilvl w:val="0"/>
          <w:numId w:val="1011"/>
        </w:numPr>
        <w:pStyle w:val="Compact"/>
      </w:pPr>
      <w:r>
        <w:t xml:space="preserve">MCCCD Intro to OER Adoption (4/2025)</w:t>
      </w:r>
    </w:p>
    <w:p>
      <w:pPr>
        <w:numPr>
          <w:ilvl w:val="0"/>
          <w:numId w:val="1011"/>
        </w:numPr>
        <w:pStyle w:val="Compact"/>
      </w:pPr>
      <w:r>
        <w:t xml:space="preserve">Advanced OER, CTLE (fall 2025)</w:t>
      </w:r>
    </w:p>
    <w:p>
      <w:pPr>
        <w:numPr>
          <w:ilvl w:val="0"/>
          <w:numId w:val="1011"/>
        </w:numPr>
        <w:pStyle w:val="Compact"/>
      </w:pPr>
      <w:r>
        <w:t xml:space="preserve">OERizona OER Fundamentals Academy, multi-session (fall 2024)</w:t>
      </w:r>
    </w:p>
    <w:p>
      <w:pPr>
        <w:numPr>
          <w:ilvl w:val="0"/>
          <w:numId w:val="1011"/>
        </w:numPr>
        <w:pStyle w:val="Compact"/>
      </w:pPr>
      <w:r>
        <w:t xml:space="preserve">LibreTexts (OER Publishing Platform) for MCCCD (1/2024)</w:t>
      </w:r>
    </w:p>
    <w:p>
      <w:pPr>
        <w:pStyle w:val="FirstParagraph"/>
      </w:pPr>
      <w:r>
        <w:rPr>
          <w:b/>
        </w:rPr>
        <w:t xml:space="preserve">Conferences and District Events</w:t>
      </w:r>
    </w:p>
    <w:p>
      <w:pPr>
        <w:numPr>
          <w:ilvl w:val="0"/>
          <w:numId w:val="1012"/>
        </w:numPr>
        <w:pStyle w:val="Compact"/>
      </w:pPr>
      <w:r>
        <w:t xml:space="preserve">Presented: Mesa Community College AI Summit, Render (5/2026)</w:t>
      </w:r>
    </w:p>
    <w:p>
      <w:pPr>
        <w:numPr>
          <w:ilvl w:val="0"/>
          <w:numId w:val="1012"/>
        </w:numPr>
        <w:pStyle w:val="Compact"/>
      </w:pPr>
      <w:r>
        <w:t xml:space="preserve">2026 CTLE Spring Conference: Access in Action, GCC (2/2026)</w:t>
      </w:r>
    </w:p>
    <w:p>
      <w:pPr>
        <w:numPr>
          <w:ilvl w:val="0"/>
          <w:numId w:val="1012"/>
        </w:numPr>
        <w:pStyle w:val="Compact"/>
      </w:pPr>
      <w:r>
        <w:t xml:space="preserve">ART/HUM CTE/OPD Summit, GCC (9/2024)</w:t>
      </w:r>
    </w:p>
    <w:p>
      <w:pPr>
        <w:numPr>
          <w:ilvl w:val="0"/>
          <w:numId w:val="1012"/>
        </w:numPr>
        <w:pStyle w:val="Compact"/>
      </w:pPr>
      <w:r>
        <w:t xml:space="preserve">2026 District Day of Learning (1/2026)</w:t>
      </w:r>
    </w:p>
    <w:p>
      <w:pPr>
        <w:numPr>
          <w:ilvl w:val="0"/>
          <w:numId w:val="1012"/>
        </w:numPr>
        <w:pStyle w:val="Compact"/>
      </w:pPr>
      <w:r>
        <w:t xml:space="preserve">District Day of Learning (1/2025)</w:t>
      </w:r>
    </w:p>
    <w:p>
      <w:pPr>
        <w:pStyle w:val="FirstParagraph"/>
      </w:pPr>
      <w:r>
        <w:rPr>
          <w:b/>
        </w:rPr>
        <w:t xml:space="preserve">Books (professional reading)</w:t>
      </w:r>
    </w:p>
    <w:p>
      <w:pPr>
        <w:numPr>
          <w:ilvl w:val="0"/>
          <w:numId w:val="1013"/>
        </w:numPr>
        <w:pStyle w:val="Compact"/>
      </w:pPr>
      <w:r>
        <w:rPr>
          <w:i/>
        </w:rPr>
        <w:t xml:space="preserve">Robot-Proof</w:t>
      </w:r>
      <w:r>
        <w:t xml:space="preserve">, Joseph Aoun</w:t>
      </w:r>
    </w:p>
    <w:p>
      <w:pPr>
        <w:numPr>
          <w:ilvl w:val="0"/>
          <w:numId w:val="1013"/>
        </w:numPr>
        <w:pStyle w:val="Compact"/>
      </w:pPr>
      <w:r>
        <w:rPr>
          <w:i/>
        </w:rPr>
        <w:t xml:space="preserve">Don’t Make Me Think</w:t>
      </w:r>
      <w:r>
        <w:t xml:space="preserve">, Steve Krug</w:t>
      </w:r>
    </w:p>
    <w:p>
      <w:pPr>
        <w:numPr>
          <w:ilvl w:val="0"/>
          <w:numId w:val="1013"/>
        </w:numPr>
        <w:pStyle w:val="Compact"/>
      </w:pPr>
      <w:r>
        <w:rPr>
          <w:i/>
        </w:rPr>
        <w:t xml:space="preserve">Dopamine Nation</w:t>
      </w:r>
      <w:r>
        <w:t xml:space="preserve">, Anna Lembke</w:t>
      </w:r>
    </w:p>
    <w:p>
      <w:pPr>
        <w:numPr>
          <w:ilvl w:val="0"/>
          <w:numId w:val="1013"/>
        </w:numPr>
        <w:pStyle w:val="Compact"/>
      </w:pPr>
      <w:r>
        <w:rPr>
          <w:i/>
        </w:rPr>
        <w:t xml:space="preserve">12 Bytes</w:t>
      </w:r>
      <w:r>
        <w:t xml:space="preserve">, Jeanette Winterson</w:t>
      </w:r>
    </w:p>
    <w:p>
      <w:pPr>
        <w:numPr>
          <w:ilvl w:val="0"/>
          <w:numId w:val="1013"/>
        </w:numPr>
        <w:pStyle w:val="Compact"/>
      </w:pPr>
      <w:r>
        <w:rPr>
          <w:i/>
        </w:rPr>
        <w:t xml:space="preserve">Make It So: Interaction Design Lessons from Science Fiction</w:t>
      </w:r>
      <w:r>
        <w:t xml:space="preserve">, Nathan Shedroff and Christopher Noessel</w:t>
      </w:r>
    </w:p>
    <w:p>
      <w:pPr>
        <w:pStyle w:val="Heading2"/>
      </w:pPr>
      <w:bookmarkStart w:id="55" w:name="elective-area-acquisition-of-new-skills"/>
      <w:r>
        <w:t xml:space="preserve">Elective Area · Acquisition of New Skills</w:t>
      </w:r>
      <w:bookmarkEnd w:id="55"/>
    </w:p>
    <w:p>
      <w:pPr>
        <w:pStyle w:val="FirstParagraph"/>
      </w:pPr>
      <w:r>
        <w:t xml:space="preserve">The defining new skill of this cycle is using AI as a working partner to build things I could not build before. I came into this cycle as a graphic designer and instructional designer, not a programmer or a data person. Two pieces of work show the skill clearly.</w:t>
      </w:r>
    </w:p>
    <w:p>
      <w:pPr>
        <w:pStyle w:val="BodyText"/>
      </w:pPr>
      <w:r>
        <w:t xml:space="preserve">The first is building small functional applications. Using AI as a coding partner, I learned to move from describing what I wanted to producing working prototypes. Render, CopaMigo, and Cultivate are built in HTML, CSS, and JavaScript with AI assistance, all of them prototypes. This is a genuine extension of my design background into building. It benefits my students because it is what lets the capstone offer a real AI-supported tool, and it benefits my teaching, because I can show students what AI-assisted building actually looks like rather than describe it. The clearest place this new skill landed in my teaching is the AVC 248 redesign: the AI literacy I built for myself is now an AI-literacy unit my students work through, and the Module 9</w:t>
      </w:r>
      <w:r>
        <w:t xml:space="preserve"> </w:t>
      </w:r>
      <w:r>
        <w:t xml:space="preserve">“</w:t>
      </w:r>
      <w:r>
        <w:t xml:space="preserve">Build Your Career Agent</w:t>
      </w:r>
      <w:r>
        <w:t xml:space="preserve">”</w:t>
      </w:r>
      <w:r>
        <w:t xml:space="preserve"> </w:t>
      </w:r>
      <w:r>
        <w:t xml:space="preserve">capstone asks them to do, at their level, the same kind of building I taught myself to do, designing a portable career agent they keep and iterate. Teaching the skill I just learned, by modeling it rather than describing it, is the most honest version of this elective I can point to.</w:t>
      </w:r>
    </w:p>
    <w:p>
      <w:pPr>
        <w:pStyle w:val="BodyText"/>
      </w:pPr>
      <w:r>
        <w:t xml:space="preserve">The second is the data work behind Rough Cut, the Digital Media Arts newsletter (described in the Governance and Service section above). I needed a real distribution list for the program’s audience, and I used AI to build and clean a large contact and distribution spreadsheet from scattered sources, work I would not have attempted on my own before. That is applied AI data work, not a coding exercise, and it directly supports a piece of program communication that goes out to our actual audience. Both pieces are the same lesson: the most honest way I could learn AI was by using it to make real things my students and program could use.</w:t>
      </w:r>
    </w:p>
    <w:p>
      <w:pPr>
        <w:pStyle w:val="BodyText"/>
      </w:pPr>
      <w:r>
        <w:t xml:space="preserve">The third is agentic AI: building assistants that watch, decide, and act on their own rather than answer one question in a chat window. To learn this, I built and now run a suite of roughly ten scheduled agents as deliberate practice (for myself and for family members), each with its own reusable Markdown instructions so the practice compounds instead of starting from scratch. The point is not what any one personal agent does; it is that the volume and variety taught me the patterns of scheduling, autonomy, and human-in-the-loop control. This skill serves three purposes. It prepares me to teach these skills to students, since the workforce increasingly expects them. It directly supports my district committee service: one of the ARC Student Support and Success initiatives is to train student-services personnel, and at least one of those trainings will be on building agents, so I need real fluency to help lead it. And it makes me more productive and organized as a faculty member. I will share what I have learned with the AI Community of Practice I am launching through the Center for Teaching, Learning and Engagement, beginning with a share-out during Accountability Week this fall.</w:t>
      </w:r>
    </w:p>
    <w:p>
      <w:pPr>
        <w:pStyle w:val="BodyText"/>
      </w:pPr>
      <w:r>
        <w:rPr>
          <w:b/>
        </w:rPr>
        <w:t xml:space="preserve">Reflection.</w:t>
      </w:r>
      <w:r>
        <w:t xml:space="preserve"> </w:t>
      </w:r>
      <w:r>
        <w:t xml:space="preserve">What I learned acquiring these skills is that my design and instructional-design background extends much further into building than I expected, and that the most honest way to teach a new skill is to have just done it myself. I grew from a designer who used software into a faculty member who builds software and agents to solve real problems. I am applying it across my work: in teaching, students will build alongside me in the AVC 248 capstone (first piloting this fall); in program management, I can prototype tools like Render and CopaMigo that serve our students directly; and in my district work, this fluency is what lets me lead, and soon mentor others in, building agentic tools that take routine load off staff. Where I am going is to turn my own practice into something colleagues can do, starting with the Community of Practice and the planned student-services agent training.</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r>
      <w:t xml:space="preserve"> of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 Type="http://schemas.openxmlformats.org/officeDocument/2006/relationships/image" Id="rId34" Target="media/rId34.png" /><Relationship Type="http://schemas.openxmlformats.org/officeDocument/2006/relationships/image" Id="rId32" Target="media/rId32.png" /><Relationship Type="http://schemas.openxmlformats.org/officeDocument/2006/relationships/hyperlink" Id="rId50" Target="/copamigo/" TargetMode="External" /><Relationship Type="http://schemas.openxmlformats.org/officeDocument/2006/relationships/hyperlink" Id="rId52" Target="/cultivate/" TargetMode="External" /><Relationship Type="http://schemas.openxmlformats.org/officeDocument/2006/relationships/hyperlink" Id="rId49" Target="https://docs.google.com/document/d/17K8bcw26JggOR-95EKkZsgOJ5o9MfXe5Enk0AgtCqXg/edit" TargetMode="External" /><Relationship Type="http://schemas.openxmlformats.org/officeDocument/2006/relationships/hyperlink" Id="rId45" Target="https://docs.google.com/spreadsheets/d/17flOyvuyeQao-AiPivkzHI1Hiw6x9zLyPc9uIFvGGyY/edit" TargetMode="External" /><Relationship Type="http://schemas.openxmlformats.org/officeDocument/2006/relationships/hyperlink" Id="rId48" Target="https://singletrackmom.github.io/airc-sss/" TargetMode="External" /><Relationship Type="http://schemas.openxmlformats.org/officeDocument/2006/relationships/hyperlink" Id="rId46" Target="https://singletrackmom.github.io/render/overview.html" TargetMode="External" /><Relationship Type="http://schemas.openxmlformats.org/officeDocument/2006/relationships/hyperlink" Id="rId40" Target="https://www.youtube.com/watch?v=Ljahc0BQfso" TargetMode="External" /><Relationship Type="http://schemas.openxmlformats.org/officeDocument/2006/relationships/hyperlink" Id="rId41" Target="https://www.youtube.com/watch?v=YBCpVIQ49EU" TargetMode="External" /><Relationship Type="http://schemas.openxmlformats.org/officeDocument/2006/relationships/hyperlink" Id="rId44" Target="https://youtu.be/3BSswUDrIjg" TargetMode="External" /><Relationship Type="http://schemas.openxmlformats.org/officeDocument/2006/relationships/hyperlink" Id="rId43" Target="https://youtu.be/A8eM7mdk0_k" TargetMode="External" /></Relationships>
</file>

<file path=word/_rels/footnotes.xml.rels><?xml version="1.0" encoding="UTF-8"?>
<Relationships xmlns="http://schemas.openxmlformats.org/package/2006/relationships"><Relationship Type="http://schemas.openxmlformats.org/officeDocument/2006/relationships/hyperlink" Id="rId50" Target="/copamigo/" TargetMode="External" /><Relationship Type="http://schemas.openxmlformats.org/officeDocument/2006/relationships/hyperlink" Id="rId52" Target="/cultivate/" TargetMode="External" /><Relationship Type="http://schemas.openxmlformats.org/officeDocument/2006/relationships/hyperlink" Id="rId49" Target="https://docs.google.com/document/d/17K8bcw26JggOR-95EKkZsgOJ5o9MfXe5Enk0AgtCqXg/edit" TargetMode="External" /><Relationship Type="http://schemas.openxmlformats.org/officeDocument/2006/relationships/hyperlink" Id="rId45" Target="https://docs.google.com/spreadsheets/d/17flOyvuyeQao-AiPivkzHI1Hiw6x9zLyPc9uIFvGGyY/edit" TargetMode="External" /><Relationship Type="http://schemas.openxmlformats.org/officeDocument/2006/relationships/hyperlink" Id="rId48" Target="https://singletrackmom.github.io/airc-sss/" TargetMode="External" /><Relationship Type="http://schemas.openxmlformats.org/officeDocument/2006/relationships/hyperlink" Id="rId46" Target="https://singletrackmom.github.io/render/overview.html" TargetMode="External" /><Relationship Type="http://schemas.openxmlformats.org/officeDocument/2006/relationships/hyperlink" Id="rId40" Target="https://www.youtube.com/watch?v=Ljahc0BQfso" TargetMode="External" /><Relationship Type="http://schemas.openxmlformats.org/officeDocument/2006/relationships/hyperlink" Id="rId41" Target="https://www.youtube.com/watch?v=YBCpVIQ49EU" TargetMode="External" /><Relationship Type="http://schemas.openxmlformats.org/officeDocument/2006/relationships/hyperlink" Id="rId44" Target="https://youtu.be/3BSswUDrIjg" TargetMode="External" /><Relationship Type="http://schemas.openxmlformats.org/officeDocument/2006/relationships/hyperlink" Id="rId43" Target="https://youtu.be/A8eM7mdk0_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2026-06-30T02:40:12Z</dcterms:created>
  <dcterms:modified xsi:type="dcterms:W3CDTF">2026-06-30T02:40:12Z</dcterms:modified>
</cp:coreProperties>
</file>

<file path=docProps/custom.xml><?xml version="1.0" encoding="utf-8"?>
<Properties xmlns="http://schemas.openxmlformats.org/officeDocument/2006/custom-properties" xmlns:vt="http://schemas.openxmlformats.org/officeDocument/2006/docPropsVTypes"/>
</file>