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Student Support &amp; Success (Domain 5) Working Group</w:t>
      </w:r>
    </w:p>
    <w:p>
      <w:pPr>
        <w:spacing w:after="80"/>
      </w:pPr>
      <w:r>
        <w:rPr>
          <w:b/>
          <w:bCs/>
        </w:rPr>
        <w:t xml:space="preserve">Group Status: </w:t>
      </w:r>
      <w:r>
        <w:t xml:space="preserve">Draft Proposal</w:t>
      </w:r>
    </w:p>
    <w:p>
      <w:pPr>
        <w:spacing w:after="80"/>
      </w:pPr>
      <w:r>
        <w:rPr>
          <w:b/>
          <w:bCs/>
        </w:rPr>
        <w:t xml:space="preserve">Steering Team Approval Date: </w:t>
      </w:r>
      <w:r>
        <w:t xml:space="preserve"/>
      </w:r>
    </w:p>
    <w:p>
      <w:pPr>
        <w:spacing w:after="80"/>
      </w:pPr>
      <w:r>
        <w:rPr>
          <w:b/>
          <w:bCs/>
        </w:rPr>
        <w:t xml:space="preserve">Group Formation Date: </w:t>
      </w:r>
      <w:r>
        <w:t xml:space="preserve"/>
      </w:r>
    </w:p>
    <w:p>
      <w:pPr>
        <w:spacing w:after="80"/>
      </w:pPr>
      <w:r>
        <w:rPr>
          <w:b/>
          <w:bCs/>
        </w:rPr>
        <w:t xml:space="preserve">Group Completion Date: </w:t>
      </w:r>
      <w:r>
        <w:t xml:space="preserve"/>
      </w:r>
    </w:p>
    <w:p>
      <w:pPr>
        <w:pStyle w:val="Heading1"/>
        <w:spacing w:after="100" w:before="240"/>
      </w:pPr>
      <w:r>
        <w:t xml:space="preserve">1. Overview of the Working Group</w:t>
      </w:r>
    </w:p>
    <w:p>
      <w:pPr>
        <w:spacing w:after="80"/>
      </w:pPr>
      <w:r>
        <w:rPr>
          <w:b/>
          <w:bCs/>
        </w:rPr>
        <w:t xml:space="preserve">Working Group Focus: </w:t>
      </w:r>
      <w:r>
        <w:t xml:space="preserve">Finding where students get stuck reaching the support that already exists, across all ten colleges, and closing the highest-impact gaps with AI.</w:t>
      </w:r>
    </w:p>
    <w:p>
      <w:pPr>
        <w:spacing w:after="120"/>
      </w:pPr>
      <w:r>
        <w:rPr>
          <w:b/>
          <w:bCs/>
        </w:rPr>
        <w:t xml:space="preserve">Purpose &amp; Strategic Alignment: </w:t>
      </w:r>
      <w:r>
        <w:t xml:space="preserve">Across the district, students often cannot find or reach the support that already exists, and the students who most need help, first-generation, working, and online students, are frequently the least able to navigate to it. Research ties a timely connection to the right support to persistence and completion. This group maps where students get stuck across all ten colleges and, where it helps, closes the highest-impact gaps with AI, in a measured, staff-led way. The work touches Strategy, Security and Governance (data and safety), Teaching and Learning (student AI literacy), and Operational Efficiency (usage data), and aims to make advising, financial aid, basic needs, and other services easier for students to reach.</w:t>
      </w:r>
    </w:p>
    <w:p>
      <w:pPr>
        <w:spacing w:after="120"/>
      </w:pPr>
      <w:r>
        <w:rPr>
          <w:b/>
          <w:bCs/>
        </w:rPr>
        <w:t xml:space="preserve">Scope: </w:t>
      </w:r>
      <w:r>
        <w:t xml:space="preserve">This group will focus on the related initiatives listed below. The work may span multiple strategic domains and will dissolve once the initiatives are complete or a decision is made to form a separate group to continue the work.</w:t>
      </w:r>
    </w:p>
    <w:p>
      <w:pPr>
        <w:pStyle w:val="Heading1"/>
        <w:spacing w:after="100" w:before="240"/>
      </w:pPr>
      <w:r>
        <w:t xml:space="preserve">2. Charge &amp; Scope</w:t>
      </w:r>
    </w:p>
    <w:p>
      <w:pPr>
        <w:spacing w:after="120"/>
      </w:pPr>
      <w:r>
        <w:rPr>
          <w:b/>
          <w:bCs/>
        </w:rPr>
        <w:t xml:space="preserve">Primary Initiatives:</w:t>
      </w:r>
    </w:p>
    <w:p>
      <w:pPr>
        <w:pStyle w:val="ListParagraph"/>
        <w:numPr>
          <w:ilvl w:val="0"/>
          <w:numId w:val="2"/>
        </w:numPr>
        <w:spacing w:after="60"/>
      </w:pPr>
      <w:r>
        <w:t xml:space="preserve">Run the gap-analysis study: map and rank where students get stuck reaching support across all ten colleges.</w:t>
      </w:r>
    </w:p>
    <w:p>
      <w:pPr>
        <w:pStyle w:val="ListParagraph"/>
        <w:numPr>
          <w:ilvl w:val="0"/>
          <w:numId w:val="2"/>
        </w:numPr>
        <w:spacing w:after="60"/>
      </w:pPr>
      <w:r>
        <w:t xml:space="preserve">Test on campus with real people: validate the study through in-person visits at each campus.</w:t>
      </w:r>
    </w:p>
    <w:p>
      <w:pPr>
        <w:pStyle w:val="ListParagraph"/>
        <w:numPr>
          <w:ilvl w:val="0"/>
          <w:numId w:val="2"/>
        </w:numPr>
        <w:spacing w:after="60"/>
      </w:pPr>
      <w:r>
        <w:t xml:space="preserve">Recommend AI fixes, and pilot them to prove they help before anything scales, measured and staff-led.</w:t>
      </w:r>
    </w:p>
    <w:p>
      <w:pPr>
        <w:pStyle w:val="ListParagraph"/>
        <w:numPr>
          <w:ilvl w:val="0"/>
          <w:numId w:val="2"/>
        </w:numPr>
        <w:spacing w:after="60"/>
      </w:pPr>
      <w:r>
        <w:t xml:space="preserve">Grow student AI literacy with Teaching and Learning, and explore an AI institutional learning outcome.</w:t>
      </w:r>
    </w:p>
    <w:p>
      <w:pPr>
        <w:pStyle w:val="ListParagraph"/>
        <w:numPr>
          <w:ilvl w:val="0"/>
          <w:numId w:val="2"/>
        </w:numPr>
        <w:spacing w:after="60"/>
      </w:pPr>
      <w:r>
        <w:t xml:space="preserve">Build and fund student project teams to build the tools, then grow the framework so it can scale.</w:t>
      </w:r>
    </w:p>
    <w:p>
      <w:pPr>
        <w:spacing w:after="120"/>
      </w:pPr>
      <w:r>
        <w:rPr>
          <w:b/>
          <w:bCs/>
        </w:rPr>
        <w:t xml:space="preserve">What is IN scope: </w:t>
      </w:r>
      <w:r>
        <w:t xml:space="preserve">The student-services journey, finding and reaching advising, financial aid, basic needs, career services, and the rest, up to and around the classroom; usability testing online and on campus; recommending and piloting the AI fixes this group owns; the student-team framework and funding; and the student AI-literacy partnership with Teaching and Learning.</w:t>
      </w:r>
    </w:p>
    <w:p>
      <w:pPr>
        <w:spacing w:after="120"/>
      </w:pPr>
      <w:r>
        <w:rPr>
          <w:b/>
          <w:bCs/>
        </w:rPr>
        <w:t xml:space="preserve">What is OUT of scope: </w:t>
      </w:r>
      <w:r>
        <w:t xml:space="preserve">Classroom instruction, curriculum, and faculty tools (Teaching and Learning, Domain 2); data-governance and security ownership (Strategy, Security and Governance, Domain 1); institutional-research data ownership (Operational Efficiency, Domain 3); forcing changes on staff; and standing up brand-new student services.</w:t>
      </w:r>
    </w:p>
    <w:p>
      <w:pPr>
        <w:pStyle w:val="Heading1"/>
        <w:spacing w:after="100" w:before="240"/>
      </w:pPr>
      <w:r>
        <w:t xml:space="preserve">3. Deliverables &amp; Outcomes</w:t>
      </w:r>
    </w:p>
    <w:p>
      <w:pPr>
        <w:spacing w:after="120"/>
      </w:pPr>
      <w:r>
        <w:rPr>
          <w:b/>
          <w:bCs/>
        </w:rPr>
        <w:t xml:space="preserve">Primary Deliverables:</w:t>
      </w:r>
    </w:p>
    <w:p>
      <w:pPr>
        <w:pStyle w:val="ListParagraph"/>
        <w:numPr>
          <w:ilvl w:val="0"/>
          <w:numId w:val="2"/>
        </w:numPr>
        <w:spacing w:after="60"/>
      </w:pPr>
      <w:r>
        <w:t xml:space="preserve">Ranked barrier list from the gap analysis. </w:t>
      </w:r>
      <w:r>
        <w:rPr>
          <w:i/>
          <w:iCs/>
        </w:rPr>
        <w:t xml:space="preserve">Expected completion: [target Fall 2026]</w:t>
      </w:r>
    </w:p>
    <w:p>
      <w:pPr>
        <w:pStyle w:val="ListParagraph"/>
        <w:numPr>
          <w:ilvl w:val="0"/>
          <w:numId w:val="2"/>
        </w:numPr>
        <w:spacing w:after="60"/>
      </w:pPr>
      <w:r>
        <w:t xml:space="preserve">On-campus usability-testing findings. </w:t>
      </w:r>
      <w:r>
        <w:rPr>
          <w:i/>
          <w:iCs/>
        </w:rPr>
        <w:t xml:space="preserve">Expected completion: [ ]</w:t>
      </w:r>
    </w:p>
    <w:p>
      <w:pPr>
        <w:pStyle w:val="ListParagraph"/>
        <w:numPr>
          <w:ilvl w:val="0"/>
          <w:numId w:val="2"/>
        </w:numPr>
        <w:spacing w:after="60"/>
      </w:pPr>
      <w:r>
        <w:t xml:space="preserve">Recommended AI fixes with pilot results. </w:t>
      </w:r>
      <w:r>
        <w:rPr>
          <w:i/>
          <w:iCs/>
        </w:rPr>
        <w:t xml:space="preserve">Expected completion: [ ]</w:t>
      </w:r>
    </w:p>
    <w:p>
      <w:pPr>
        <w:pStyle w:val="ListParagraph"/>
        <w:numPr>
          <w:ilvl w:val="0"/>
          <w:numId w:val="2"/>
        </w:numPr>
        <w:spacing w:after="60"/>
      </w:pPr>
      <w:r>
        <w:t xml:space="preserve">Student AI-literacy plan with Teaching and Learning. </w:t>
      </w:r>
      <w:r>
        <w:rPr>
          <w:i/>
          <w:iCs/>
        </w:rPr>
        <w:t xml:space="preserve">Expected completion: [ ]</w:t>
      </w:r>
    </w:p>
    <w:p>
      <w:pPr>
        <w:pStyle w:val="ListParagraph"/>
        <w:numPr>
          <w:ilvl w:val="0"/>
          <w:numId w:val="2"/>
        </w:numPr>
        <w:spacing w:after="60"/>
      </w:pPr>
      <w:r>
        <w:t xml:space="preserve">Student-team framework and funding proposal. </w:t>
      </w:r>
      <w:r>
        <w:rPr>
          <w:i/>
          <w:iCs/>
        </w:rPr>
        <w:t xml:space="preserve">Expected completion: [ ]</w:t>
      </w:r>
    </w:p>
    <w:p>
      <w:pPr>
        <w:spacing w:after="120"/>
      </w:pPr>
      <w:r>
        <w:rPr>
          <w:b/>
          <w:bCs/>
        </w:rPr>
        <w:t xml:space="preserve">Key Outcomes: </w:t>
      </w:r>
      <w:r>
        <w:t xml:space="preserve">Students reach the right support faster and with less friction; a small set of measured, staff-approved AI pilots that prove efficacy before scaling; a student AI-literacy plan; and a funded, repeatable framework for student project teams that can be shared across the ten colleges.</w:t>
      </w:r>
    </w:p>
    <w:p>
      <w:pPr>
        <w:pStyle w:val="Heading1"/>
        <w:spacing w:after="100" w:before="240"/>
      </w:pPr>
      <w:r>
        <w:t xml:space="preserve">4. Required Expertise &amp; Roles</w:t>
      </w:r>
    </w:p>
    <w:p>
      <w:pPr>
        <w:spacing w:after="120"/>
      </w:pPr>
      <w:r>
        <w:rPr>
          <w:b/>
          <w:bCs/>
        </w:rPr>
        <w:t xml:space="preserve">Expertise Domains Needed:</w:t>
      </w:r>
    </w:p>
    <w:p>
      <w:pPr>
        <w:pStyle w:val="ListParagraph"/>
        <w:numPr>
          <w:ilvl w:val="0"/>
          <w:numId w:val="2"/>
        </w:numPr>
        <w:spacing w:after="60"/>
      </w:pPr>
      <w:r>
        <w:t xml:space="preserve">Student-services practice (advising, financial aid, basic needs)</w:t>
      </w:r>
    </w:p>
    <w:p>
      <w:pPr>
        <w:pStyle w:val="ListParagraph"/>
        <w:numPr>
          <w:ilvl w:val="0"/>
          <w:numId w:val="2"/>
        </w:numPr>
        <w:spacing w:after="60"/>
      </w:pPr>
      <w:r>
        <w:t xml:space="preserve">UX and usability testing</w:t>
      </w:r>
    </w:p>
    <w:p>
      <w:pPr>
        <w:pStyle w:val="ListParagraph"/>
        <w:numPr>
          <w:ilvl w:val="0"/>
          <w:numId w:val="2"/>
        </w:numPr>
        <w:spacing w:after="60"/>
      </w:pPr>
      <w:r>
        <w:t xml:space="preserve">AI and agent building</w:t>
      </w:r>
    </w:p>
    <w:p>
      <w:pPr>
        <w:pStyle w:val="ListParagraph"/>
        <w:numPr>
          <w:ilvl w:val="0"/>
          <w:numId w:val="2"/>
        </w:numPr>
        <w:spacing w:after="60"/>
      </w:pPr>
      <w:r>
        <w:t xml:space="preserve">Grant writing and funding</w:t>
      </w:r>
    </w:p>
    <w:p>
      <w:pPr>
        <w:pStyle w:val="ListParagraph"/>
        <w:numPr>
          <w:ilvl w:val="0"/>
          <w:numId w:val="2"/>
        </w:numPr>
        <w:spacing w:after="60"/>
      </w:pPr>
      <w:r>
        <w:t xml:space="preserve">Instructional design and AI literacy</w:t>
      </w:r>
    </w:p>
    <w:p>
      <w:pPr>
        <w:pStyle w:val="ListParagraph"/>
        <w:numPr>
          <w:ilvl w:val="0"/>
          <w:numId w:val="2"/>
        </w:numPr>
        <w:spacing w:after="60"/>
      </w:pPr>
      <w:r>
        <w:t xml:space="preserve">Project management</w:t>
      </w:r>
    </w:p>
    <w:p>
      <w:pPr>
        <w:spacing w:after="120"/>
      </w:pPr>
      <w:r>
        <w:rPr>
          <w:b/>
          <w:bCs/>
        </w:rPr>
        <w:t xml:space="preserve">Organizational Roles to Be Represented: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400"/>
        <w:gridCol w:w="4840"/>
      </w:tblGrid>
      <w:tr>
        <w:trPr>
          <w:tblHeader/>
        </w:trPr>
        <w:tc>
          <w:tcPr>
            <w:tcW w:type="dxa" w:w="3120"/>
            <w:shd w:fill="F2EEF5" w:color="auto" w:val="clear"/>
          </w:tcPr>
          <w:p>
            <w:r>
              <w:rPr>
                <w:b/>
                <w:bCs/>
              </w:rPr>
              <w:t xml:space="preserve">Role Needed</w:t>
            </w:r>
          </w:p>
        </w:tc>
        <w:tc>
          <w:tcPr>
            <w:tcW w:type="dxa" w:w="1400"/>
            <w:shd w:fill="F2EEF5" w:color="auto" w:val="clear"/>
          </w:tcPr>
          <w:p>
            <w:r>
              <w:rPr>
                <w:b/>
                <w:bCs/>
              </w:rPr>
              <w:t xml:space="preserve">Person(s)</w:t>
            </w:r>
          </w:p>
        </w:tc>
        <w:tc>
          <w:tcPr>
            <w:tcW w:type="dxa" w:w="4840"/>
            <w:shd w:fill="F2EEF5" w:color="auto" w:val="clear"/>
          </w:tcPr>
          <w:p>
            <w:r>
              <w:rPr>
                <w:b/>
                <w:bCs/>
              </w:rPr>
              <w:t xml:space="preserve">Notes</w:t>
            </w:r>
          </w:p>
        </w:tc>
      </w:tr>
      <w:tr>
        <w:tc>
          <w:tcPr>
            <w:tcW w:type="dxa" w:w="3120"/>
          </w:tcPr>
          <w:p>
            <w:r>
              <w:t xml:space="preserve">Study lead (Goal 1)</w:t>
            </w:r>
          </w:p>
        </w:tc>
        <w:tc>
          <w:tcPr>
            <w:tcW w:type="dxa" w:w="1400"/>
          </w:tcPr>
          <w:p>
            <w:r>
              <w:t xml:space="preserve"/>
            </w:r>
          </w:p>
        </w:tc>
        <w:tc>
          <w:tcPr>
            <w:tcW w:type="dxa" w:w="4840"/>
          </w:tcPr>
          <w:p>
            <w:r>
              <w:t xml:space="preserve">Runs the gap-analysis study; Strategy, Security and Governance (Domain 1) oversees safety</w:t>
            </w:r>
          </w:p>
        </w:tc>
      </w:tr>
      <w:tr>
        <w:tc>
          <w:tcPr>
            <w:tcW w:type="dxa" w:w="3120"/>
          </w:tcPr>
          <w:p>
            <w:r>
              <w:t xml:space="preserve">On-campus usability testing (Goal 2)</w:t>
            </w:r>
          </w:p>
        </w:tc>
        <w:tc>
          <w:tcPr>
            <w:tcW w:type="dxa" w:w="1400"/>
          </w:tcPr>
          <w:p>
            <w:r>
              <w:t xml:space="preserve"/>
            </w:r>
          </w:p>
        </w:tc>
        <w:tc>
          <w:tcPr>
            <w:tcW w:type="dxa" w:w="4840"/>
          </w:tcPr>
          <w:p>
            <w:r>
              <w:t xml:space="preserve">One member at every campus; does the in-person visits</w:t>
            </w:r>
          </w:p>
        </w:tc>
      </w:tr>
      <w:tr>
        <w:tc>
          <w:tcPr>
            <w:tcW w:type="dxa" w:w="3120"/>
          </w:tcPr>
          <w:p>
            <w:r>
              <w:t xml:space="preserve">Solutions and pilots lead (Goal 3)</w:t>
            </w:r>
          </w:p>
        </w:tc>
        <w:tc>
          <w:tcPr>
            <w:tcW w:type="dxa" w:w="1400"/>
          </w:tcPr>
          <w:p>
            <w:r>
              <w:t xml:space="preserve"/>
            </w:r>
          </w:p>
        </w:tc>
        <w:tc>
          <w:tcPr>
            <w:tcW w:type="dxa" w:w="4840"/>
          </w:tcPr>
          <w:p>
            <w:r>
              <w:t xml:space="preserve">Recommends AI fixes and runs the pilots</w:t>
            </w:r>
          </w:p>
        </w:tc>
      </w:tr>
      <w:tr>
        <w:tc>
          <w:tcPr>
            <w:tcW w:type="dxa" w:w="3120"/>
          </w:tcPr>
          <w:p>
            <w:r>
              <w:t xml:space="preserve">Teaching and Learning liaison (Goal 4)</w:t>
            </w:r>
          </w:p>
        </w:tc>
        <w:tc>
          <w:tcPr>
            <w:tcW w:type="dxa" w:w="1400"/>
          </w:tcPr>
          <w:p>
            <w:r>
              <w:t xml:space="preserve"/>
            </w:r>
          </w:p>
        </w:tc>
        <w:tc>
          <w:tcPr>
            <w:tcW w:type="dxa" w:w="4840"/>
          </w:tcPr>
          <w:p>
            <w:r>
              <w:t xml:space="preserve">One person; student AI literacy</w:t>
            </w:r>
          </w:p>
        </w:tc>
      </w:tr>
      <w:tr>
        <w:tc>
          <w:tcPr>
            <w:tcW w:type="dxa" w:w="3120"/>
          </w:tcPr>
          <w:p>
            <w:r>
              <w:t xml:space="preserve">Student teams and funding lead (Goal 5)</w:t>
            </w:r>
          </w:p>
        </w:tc>
        <w:tc>
          <w:tcPr>
            <w:tcW w:type="dxa" w:w="1400"/>
          </w:tcPr>
          <w:p>
            <w:r>
              <w:t xml:space="preserve"/>
            </w:r>
          </w:p>
        </w:tc>
        <w:tc>
          <w:tcPr>
            <w:tcW w:type="dxa" w:w="4840"/>
          </w:tcPr>
          <w:p>
            <w:r>
              <w:t xml:space="preserve">Framework, structure, and funding (grant office, AmeriCorps)</w:t>
            </w:r>
          </w:p>
        </w:tc>
      </w:tr>
    </w:tbl>
    <w:p>
      <w:pPr>
        <w:spacing w:after="120"/>
      </w:pPr>
      <w:r>
        <w:rPr>
          <w:b/>
          <w:bCs/>
        </w:rPr>
        <w:t xml:space="preserve">Target Group Size: </w:t>
      </w:r>
      <w:r>
        <w:t xml:space="preserve">About 8 domain members, plus invited subject-matter experts per subgroup.</w:t>
      </w:r>
    </w:p>
    <w:p>
      <w:pPr>
        <w:spacing w:after="120"/>
      </w:pPr>
      <w:r>
        <w:rPr>
          <w:b/>
          <w:bCs/>
        </w:rPr>
        <w:t xml:space="preserve">Selection Criteria: </w:t>
      </w:r>
      <w:r>
        <w:t xml:space="preserve">Current domain members lead the subgroups; each may invite targeted subject-matter experts (advisors, financial-aid staff, grant writers, faculty) who work only within their subgroup and do not attend the main domain meetings.</w:t>
      </w:r>
    </w:p>
    <w:p>
      <w:pPr>
        <w:pStyle w:val="Heading1"/>
        <w:spacing w:after="100" w:before="240"/>
      </w:pPr>
      <w:r>
        <w:t xml:space="preserve">5. Leadership &amp; Support</w:t>
      </w:r>
    </w:p>
    <w:p>
      <w:pPr>
        <w:spacing w:after="80"/>
      </w:pPr>
      <w:r>
        <w:rPr>
          <w:b/>
          <w:bCs/>
        </w:rPr>
        <w:t xml:space="preserve">Working Group Leads: </w:t>
      </w:r>
      <w:r>
        <w:t xml:space="preserve">TBD (Domain 5 co-chairs)</w:t>
      </w:r>
    </w:p>
    <w:p>
      <w:pPr>
        <w:spacing w:after="120"/>
      </w:pPr>
      <w:r>
        <w:rPr>
          <w:b/>
          <w:bCs/>
        </w:rPr>
        <w:t xml:space="preserve">Lead Responsibilities: </w:t>
      </w:r>
      <w:r>
        <w:t xml:space="preserve">Facilitate meetings, coordinate work, ensure progress toward deliverables, and serve as primary contact for the group.</w:t>
      </w:r>
    </w:p>
    <w:p>
      <w:pPr>
        <w:spacing w:after="120"/>
      </w:pPr>
      <w:r>
        <w:t xml:space="preserve">The ARC Co-Chairs will provide guidance and facilitation support, serve as liaison between the working group and the Steering Team, track progress, assist in resolving any disagreements, help with resource procurement to complete deliverables, and ensure timely reporting to stakeholders.</w:t>
      </w:r>
    </w:p>
    <w:p>
      <w:pPr>
        <w:pStyle w:val="Heading1"/>
        <w:spacing w:after="100" w:before="240"/>
      </w:pPr>
      <w:r>
        <w:t xml:space="preserve">6. Time Commitment &amp; Duration</w:t>
      </w:r>
    </w:p>
    <w:p>
      <w:pPr>
        <w:spacing w:after="80"/>
      </w:pPr>
      <w:r>
        <w:rPr>
          <w:b/>
          <w:bCs/>
        </w:rPr>
        <w:t xml:space="preserve">Meeting Schedule: </w:t>
      </w:r>
      <w:r>
        <w:t xml:space="preserve">Bi-weekly, 30-60 minutes. The domain meeting is used for updates and sharing out; subgroups work asynchronously.</w:t>
      </w:r>
    </w:p>
    <w:p>
      <w:pPr>
        <w:spacing w:after="120"/>
      </w:pPr>
      <w:r>
        <w:rPr>
          <w:b/>
          <w:bCs/>
        </w:rPr>
        <w:t xml:space="preserve">Additional Work: </w:t>
      </w:r>
      <w:r>
        <w:t xml:space="preserve">Estimated [ ] hours per week between meetings, including outreach to departments, drafting, and reviewing.</w:t>
      </w:r>
    </w:p>
    <w:p>
      <w:pPr>
        <w:spacing w:after="120"/>
      </w:pPr>
      <w:r>
        <w:rPr>
          <w:b/>
          <w:bCs/>
        </w:rPr>
        <w:t xml:space="preserve">Estimated Timeline: </w:t>
      </w:r>
      <w:r>
        <w:t xml:space="preserve">Approximately [ ] (study Fall 2026; student-team builds targeted January to May 2027; pilots 2027 to 2028). The group dissolves upon completion of all initiatives or by decision of the Steering Team.</w:t>
      </w:r>
    </w:p>
    <w:p>
      <w:pPr>
        <w:spacing w:after="120"/>
      </w:pPr>
      <w:r>
        <w:rPr>
          <w:b/>
          <w:bCs/>
        </w:rPr>
        <w:t xml:space="preserve">Maximum Duration: </w:t>
      </w:r>
      <w:r>
        <w:t xml:space="preserve">No working group will operate beyond 2 years without restructuring.</w:t>
      </w:r>
    </w:p>
    <w:p>
      <w:pPr>
        <w:pStyle w:val="Heading1"/>
        <w:spacing w:after="100" w:before="240"/>
      </w:pPr>
      <w:r>
        <w:t xml:space="preserve">7. Communication</w:t>
      </w:r>
    </w:p>
    <w:p>
      <w:pPr>
        <w:spacing w:after="80"/>
      </w:pPr>
      <w:r>
        <w:rPr>
          <w:b/>
          <w:bCs/>
        </w:rPr>
        <w:t xml:space="preserve">Progress Reports to Steering Team: </w:t>
      </w:r>
      <w:r>
        <w:t xml:space="preserve">Monthly.</w:t>
      </w:r>
    </w:p>
    <w:p>
      <w:pPr>
        <w:spacing w:after="120"/>
      </w:pPr>
      <w:r>
        <w:rPr>
          <w:b/>
          <w:bCs/>
        </w:rPr>
        <w:t xml:space="preserve">Report Format: </w:t>
      </w:r>
      <w:r>
        <w:t xml:space="preserve">Deliverables completed, upcoming milestones, blockers or support needed, and feedback from stakeholders.</w:t>
      </w:r>
    </w:p>
    <w:p>
      <w:pPr>
        <w:spacing w:after="120"/>
      </w:pPr>
      <w:r>
        <w:rPr>
          <w:b/>
          <w:bCs/>
        </w:rPr>
        <w:t xml:space="preserve">Stakeholder Feedback: </w:t>
      </w:r>
      <w:r>
        <w:t xml:space="preserve">The group will solicit and incorporate feedback from department chairs and staff, and from students, at key junctures, to align the work with real needs and build buy-in.</w:t>
      </w:r>
    </w:p>
    <w:p>
      <w:pPr>
        <w:spacing w:after="120"/>
      </w:pPr>
      <w:r>
        <w:rPr>
          <w:b/>
          <w:bCs/>
        </w:rPr>
        <w:t xml:space="preserve">Internal Group Communication: </w:t>
      </w:r>
      <w:r>
        <w:t xml:space="preserve">Subgroups work in small teams asynchronously; the domain meeting is used for updates and decisions; the co-chairs coordinate and resolve any disagreements.</w:t>
      </w:r>
    </w:p>
    <w:p>
      <w:pPr>
        <w:pStyle w:val="Heading1"/>
        <w:spacing w:after="100" w:before="240"/>
      </w:pPr>
      <w:r>
        <w:t xml:space="preserve">8. Success Criteria</w:t>
      </w:r>
    </w:p>
    <w:p>
      <w:pPr>
        <w:spacing w:after="120"/>
      </w:pPr>
      <w:r>
        <w:t xml:space="preserve">This working group will be considered successful when:</w:t>
      </w:r>
    </w:p>
    <w:p>
      <w:pPr>
        <w:pStyle w:val="ListParagraph"/>
        <w:numPr>
          <w:ilvl w:val="0"/>
          <w:numId w:val="2"/>
        </w:numPr>
        <w:spacing w:after="60"/>
      </w:pPr>
      <w:r>
        <w:t xml:space="preserve">All primary deliverables listed in Section 3 are completed and meet quality standards.</w:t>
      </w:r>
    </w:p>
    <w:p>
      <w:pPr>
        <w:pStyle w:val="ListParagraph"/>
        <w:numPr>
          <w:ilvl w:val="0"/>
          <w:numId w:val="2"/>
        </w:numPr>
        <w:spacing w:after="60"/>
      </w:pPr>
      <w:r>
        <w:t xml:space="preserve">Outcomes are measurable and demonstrable (more students reaching support; pilots showing efficacy against a baseline).</w:t>
      </w:r>
    </w:p>
    <w:p>
      <w:pPr>
        <w:pStyle w:val="ListParagraph"/>
        <w:numPr>
          <w:ilvl w:val="0"/>
          <w:numId w:val="2"/>
        </w:numPr>
        <w:spacing w:after="60"/>
      </w:pPr>
      <w:r>
        <w:t xml:space="preserve">Work has been completed within the estimated timeline.</w:t>
      </w:r>
    </w:p>
    <w:p>
      <w:pPr>
        <w:pStyle w:val="ListParagraph"/>
        <w:numPr>
          <w:ilvl w:val="0"/>
          <w:numId w:val="2"/>
        </w:numPr>
        <w:spacing w:after="60"/>
      </w:pPr>
      <w:r>
        <w:t xml:space="preserve">Stakeholder feedback has been incorporated and documented.</w:t>
      </w:r>
    </w:p>
    <w:p>
      <w:pPr>
        <w:pStyle w:val="ListParagraph"/>
        <w:numPr>
          <w:ilvl w:val="0"/>
          <w:numId w:val="2"/>
        </w:numPr>
        <w:spacing w:after="60"/>
      </w:pPr>
      <w:r>
        <w:t xml:space="preserve">Knowledge has been transferred or institutionalized (the student-team framework published and shared across the ten colleges).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2026-07-28T17:39:35.962Z</dcterms:created>
  <dcterms:modified xsi:type="dcterms:W3CDTF">2026-07-28T17:39:35.962Z</dcterms:modified>
</cp:coreProperties>
</file>

<file path=docProps/custom.xml><?xml version="1.0" encoding="utf-8"?>
<Properties xmlns="http://schemas.openxmlformats.org/officeDocument/2006/custom-properties" xmlns:vt="http://schemas.openxmlformats.org/officeDocument/2006/docPropsVTypes"/>
</file>