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jc w:val="left"/>
      </w:pPr>
      <w:r>
        <w:rPr>
          <w:rFonts w:ascii="Lexend" w:cs="Lexend" w:eastAsia="Lexend" w:hAnsi="Lexend"/>
          <w:b/>
          <w:bCs/>
          <w:color w:val="26221F"/>
          <w:sz w:val="36"/>
          <w:szCs w:val="36"/>
        </w:rPr>
        <w:t xml:space="preserve">Intro to Digital Art Redesign</w:t>
      </w:r>
    </w:p>
    <w:p>
      <w:pPr>
        <w:spacing w:after="60" w:line="276"/>
        <w:jc w:val="left"/>
      </w:pPr>
      <w:r>
        <w:rPr>
          <w:rFonts w:ascii="Lexend" w:cs="Lexend" w:eastAsia="Lexend" w:hAnsi="Lexend"/>
          <w:b w:val="false"/>
          <w:bCs w:val="false"/>
          <w:i w:val="false"/>
          <w:iCs w:val="false"/>
          <w:color w:val="6D635F"/>
          <w:sz w:val="22"/>
          <w:szCs w:val="22"/>
        </w:rPr>
        <w:t xml:space="preserve">Summary and early results, September 2026</w:t>
      </w:r>
    </w:p>
    <w:p>
      <w:pPr>
        <w:pBdr>
          <w:bottom w:val="single" w:color="E5DDD1" w:sz="6" w:space="8"/>
        </w:pBdr>
        <w:spacing w:after="200" w:line="276"/>
        <w:jc w:val="left"/>
      </w:pPr>
      <w:r>
        <w:rPr>
          <w:rFonts w:ascii="Lexend" w:cs="Lexend" w:eastAsia="Lexend" w:hAnsi="Lexend"/>
          <w:b w:val="false"/>
          <w:bCs w:val="false"/>
          <w:i w:val="false"/>
          <w:iCs w:val="false"/>
          <w:color w:val="6D635F"/>
          <w:sz w:val="20"/>
          <w:szCs w:val="20"/>
        </w:rPr>
        <w:t xml:space="preserve">Redesign team: Michelle Blomberg, Brian Gerber, Casey Farina, Bryan Dubon (videographer), and Stephanie Burchett</w:t>
      </w:r>
    </w:p>
    <w:p>
      <w:pPr>
        <w:pStyle w:val="Heading2"/>
        <w:spacing w:after="120" w:before="300"/>
        <w:jc w:val="left"/>
      </w:pPr>
      <w:r>
        <w:rPr>
          <w:rFonts w:ascii="Lexend" w:cs="Lexend" w:eastAsia="Lexend" w:hAnsi="Lexend"/>
          <w:b/>
          <w:bCs/>
          <w:color w:val="7A5080"/>
          <w:sz w:val="26"/>
          <w:szCs w:val="26"/>
        </w:rPr>
        <w:t xml:space="preserve">What we did</w:t>
      </w:r>
    </w:p>
    <w:p>
      <w:pPr>
        <w:spacing w:after="160" w:line="276"/>
        <w:jc w:val="left"/>
      </w:pPr>
      <w:r>
        <w:rPr>
          <w:rFonts w:ascii="Lexend" w:cs="Lexend" w:eastAsia="Lexend" w:hAnsi="Lexend"/>
          <w:b w:val="false"/>
          <w:bCs w:val="false"/>
          <w:i w:val="false"/>
          <w:iCs w:val="false"/>
          <w:color w:val="26221F"/>
          <w:sz w:val="22"/>
          <w:szCs w:val="22"/>
        </w:rPr>
        <w:t xml:space="preserve">Intro to Digital Art, AVC 100, is our highest-enrollment entry course and one of our lowest in student success. It is one credit, half a semester, fully online, and it puts three professional applications in front of beginners at once. We rebuilt it from the ground up around the reasons students actually struggle in it.</w:t>
      </w:r>
    </w:p>
    <w:p>
      <w:pPr>
        <w:spacing w:after="160" w:line="276"/>
        <w:jc w:val="left"/>
      </w:pPr>
      <w:r>
        <w:rPr>
          <w:rFonts w:ascii="Lexend" w:cs="Lexend" w:eastAsia="Lexend" w:hAnsi="Lexend"/>
          <w:b w:val="false"/>
          <w:bCs w:val="false"/>
          <w:i w:val="false"/>
          <w:iCs w:val="false"/>
          <w:color w:val="26221F"/>
          <w:sz w:val="22"/>
          <w:szCs w:val="22"/>
        </w:rPr>
        <w:t xml:space="preserve">The course now runs on three small connected projects, one each in Illustrator, Photoshop, and After Effects, carrying a single subject all the way through so they add up to one finished piece. Each project closes with a structured critique on Discord. Students end with work in their own portfolio, which they keep building in every course after this one.</w:t>
      </w:r>
    </w:p>
    <w:p>
      <w:pPr>
        <w:spacing w:after="160" w:line="276"/>
        <w:jc w:val="left"/>
      </w:pPr>
      <w:r>
        <w:rPr>
          <w:rFonts w:ascii="Lexend" w:cs="Lexend" w:eastAsia="Lexend" w:hAnsi="Lexend"/>
          <w:b w:val="false"/>
          <w:bCs w:val="false"/>
          <w:i w:val="false"/>
          <w:iCs w:val="false"/>
          <w:color w:val="26221F"/>
          <w:sz w:val="22"/>
          <w:szCs w:val="22"/>
        </w:rPr>
        <w:t xml:space="preserve">It ships as an IMSCC package that imports straight into any Canvas shell, with WCAG 2.1 AA accessibility built into every page, so another instructor can adopt it without rebuilding.</w:t>
      </w:r>
    </w:p>
    <w:p>
      <w:pPr>
        <w:pStyle w:val="Heading2"/>
        <w:spacing w:after="120" w:before="300"/>
        <w:jc w:val="left"/>
      </w:pPr>
      <w:r>
        <w:rPr>
          <w:rFonts w:ascii="Lexend" w:cs="Lexend" w:eastAsia="Lexend" w:hAnsi="Lexend"/>
          <w:b/>
          <w:bCs/>
          <w:color w:val="7A5080"/>
          <w:sz w:val="26"/>
          <w:szCs w:val="26"/>
        </w:rPr>
        <w:t xml:space="preserve">The student success modules</w:t>
      </w:r>
    </w:p>
    <w:p>
      <w:pPr>
        <w:spacing w:after="160" w:line="276"/>
        <w:jc w:val="left"/>
      </w:pPr>
      <w:r>
        <w:rPr>
          <w:rFonts w:ascii="Lexend" w:cs="Lexend" w:eastAsia="Lexend" w:hAnsi="Lexend"/>
          <w:b w:val="false"/>
          <w:bCs w:val="false"/>
          <w:i w:val="false"/>
          <w:iCs w:val="false"/>
          <w:color w:val="26221F"/>
          <w:sz w:val="22"/>
          <w:szCs w:val="22"/>
        </w:rPr>
        <w:t xml:space="preserve">The central move is a student success lesson inside every module, so the course works as a small first-year experience inside a one-credit art class. Each one is short, worth easy points, and asks the student to do one real thing, such as look up an advisor or find a service’s hours.</w:t>
      </w:r>
    </w:p>
    <w:p>
      <w:pPr>
        <w:pStyle w:val="ListParagraph"/>
        <w:numPr>
          <w:ilvl w:val="0"/>
          <w:numId w:val="2"/>
        </w:numPr>
        <w:spacing w:after="70" w:line="276"/>
        <w:jc w:val="left"/>
      </w:pPr>
      <w:r>
        <w:rPr>
          <w:rFonts w:ascii="Lexend" w:cs="Lexend" w:eastAsia="Lexend" w:hAnsi="Lexend"/>
          <w:color w:val="26221F"/>
          <w:sz w:val="22"/>
          <w:szCs w:val="22"/>
        </w:rPr>
        <w:t xml:space="preserve">How to be successful in an online course, since many of these students have never taken one.</w:t>
      </w:r>
    </w:p>
    <w:p>
      <w:pPr>
        <w:pStyle w:val="ListParagraph"/>
        <w:numPr>
          <w:ilvl w:val="0"/>
          <w:numId w:val="2"/>
        </w:numPr>
        <w:spacing w:after="70" w:line="276"/>
        <w:jc w:val="left"/>
      </w:pPr>
      <w:r>
        <w:rPr>
          <w:rFonts w:ascii="Lexend" w:cs="Lexend" w:eastAsia="Lexend" w:hAnsi="Lexend"/>
          <w:color w:val="26221F"/>
          <w:sz w:val="22"/>
          <w:szCs w:val="22"/>
        </w:rPr>
        <w:t xml:space="preserve">Where to go for help, built around the college website that gathers all student resources in one place.</w:t>
      </w:r>
    </w:p>
    <w:p>
      <w:pPr>
        <w:pStyle w:val="ListParagraph"/>
        <w:numPr>
          <w:ilvl w:val="0"/>
          <w:numId w:val="2"/>
        </w:numPr>
        <w:spacing w:after="70" w:line="276"/>
        <w:jc w:val="left"/>
      </w:pPr>
      <w:r>
        <w:rPr>
          <w:rFonts w:ascii="Lexend" w:cs="Lexend" w:eastAsia="Lexend" w:hAnsi="Lexend"/>
          <w:color w:val="26221F"/>
          <w:sz w:val="22"/>
          <w:szCs w:val="22"/>
        </w:rPr>
        <w:t xml:space="preserve">GCC Cares, the campus basic-needs hub, covering food, emergency assistance, and other support.</w:t>
      </w:r>
    </w:p>
    <w:p>
      <w:pPr>
        <w:pStyle w:val="ListParagraph"/>
        <w:numPr>
          <w:ilvl w:val="0"/>
          <w:numId w:val="2"/>
        </w:numPr>
        <w:spacing w:after="70" w:line="276"/>
        <w:jc w:val="left"/>
      </w:pPr>
      <w:r>
        <w:rPr>
          <w:rFonts w:ascii="Lexend" w:cs="Lexend" w:eastAsia="Lexend" w:hAnsi="Lexend"/>
          <w:color w:val="26221F"/>
          <w:sz w:val="22"/>
          <w:szCs w:val="22"/>
        </w:rPr>
        <w:t xml:space="preserve">Why advising matters, what an advisor does and why to see one before registering.</w:t>
      </w:r>
    </w:p>
    <w:p>
      <w:pPr>
        <w:pStyle w:val="ListParagraph"/>
        <w:numPr>
          <w:ilvl w:val="0"/>
          <w:numId w:val="2"/>
        </w:numPr>
        <w:spacing w:after="70" w:line="276"/>
        <w:jc w:val="left"/>
      </w:pPr>
      <w:r>
        <w:rPr>
          <w:rFonts w:ascii="Lexend" w:cs="Lexend" w:eastAsia="Lexend" w:hAnsi="Lexend"/>
          <w:color w:val="26221F"/>
          <w:sz w:val="22"/>
          <w:szCs w:val="22"/>
        </w:rPr>
        <w:t xml:space="preserve">Tutoring, presented by Fabio Bruzzese, on what tutoring is and how to use it.</w:t>
      </w:r>
    </w:p>
    <w:p>
      <w:pPr>
        <w:spacing w:after="200" w:line="276"/>
        <w:jc w:val="left"/>
      </w:pPr>
      <w:r>
        <w:rPr>
          <w:rFonts w:ascii="Lexend" w:cs="Lexend" w:eastAsia="Lexend" w:hAnsi="Lexend"/>
          <w:b w:val="false"/>
          <w:bCs w:val="false"/>
          <w:i w:val="false"/>
          <w:iCs w:val="false"/>
          <w:color w:val="26221F"/>
          <w:sz w:val="22"/>
          <w:szCs w:val="22"/>
        </w:rPr>
        <w:t xml:space="preserve">This content is not part of the course outcomes and does not pretend to be. It is attached to the college’s institutional learning outcomes, which is the honest place for it. Our students carry real barriers, and the students facing the most barriers are usually the least likely to know help exists or to go find it. Optional support is least used by exactly the students who need it most, so we built it in rather than offering it alongside.</w:t>
      </w:r>
    </w:p>
    <w:p>
      <w:pPr>
        <w:pStyle w:val="Heading2"/>
        <w:spacing w:after="120" w:before="300"/>
        <w:jc w:val="left"/>
      </w:pPr>
      <w:r>
        <w:rPr>
          <w:rFonts w:ascii="Lexend" w:cs="Lexend" w:eastAsia="Lexend" w:hAnsi="Lexend"/>
          <w:b/>
          <w:bCs/>
          <w:color w:val="7A5080"/>
          <w:sz w:val="26"/>
          <w:szCs w:val="26"/>
        </w:rPr>
        <w:t xml:space="preserve">Why this matters, one example</w:t>
      </w:r>
    </w:p>
    <w:p>
      <w:pPr>
        <w:spacing w:after="160" w:line="276"/>
        <w:jc w:val="left"/>
      </w:pPr>
      <w:r>
        <w:rPr>
          <w:rFonts w:ascii="Lexend" w:cs="Lexend" w:eastAsia="Lexend" w:hAnsi="Lexend"/>
          <w:b w:val="false"/>
          <w:bCs w:val="false"/>
          <w:i w:val="false"/>
          <w:iCs w:val="false"/>
          <w:color w:val="26221F"/>
          <w:sz w:val="22"/>
          <w:szCs w:val="22"/>
        </w:rPr>
        <w:t xml:space="preserve">A student in the course became ill and could not pay rent. Through the GCC Cares module they found the hub, reached out, and connected with our social workers, who helped them stay in their home and access other assistance they qualified for. They also finished the class.</w:t>
      </w:r>
    </w:p>
    <w:p>
      <w:pPr>
        <w:spacing w:after="200" w:line="276"/>
        <w:jc w:val="left"/>
      </w:pPr>
      <w:r>
        <w:rPr>
          <w:rFonts w:ascii="Lexend" w:cs="Lexend" w:eastAsia="Lexend" w:hAnsi="Lexend"/>
          <w:b w:val="false"/>
          <w:bCs w:val="false"/>
          <w:i w:val="false"/>
          <w:iCs w:val="false"/>
          <w:color w:val="26221F"/>
          <w:sz w:val="22"/>
          <w:szCs w:val="22"/>
        </w:rPr>
        <w:t xml:space="preserve">That is the whole argument for embedding this content. The student did not have to already know the help existed, and did not have to go looking for it on their own.</w:t>
      </w:r>
    </w:p>
    <w:p>
      <w:pPr>
        <w:pStyle w:val="Heading2"/>
        <w:spacing w:after="120" w:before="300"/>
        <w:jc w:val="left"/>
      </w:pPr>
      <w:r>
        <w:rPr>
          <w:rFonts w:ascii="Lexend" w:cs="Lexend" w:eastAsia="Lexend" w:hAnsi="Lexend"/>
          <w:b/>
          <w:bCs/>
          <w:color w:val="7A5080"/>
          <w:sz w:val="26"/>
          <w:szCs w:val="26"/>
        </w:rPr>
        <w:t xml:space="preserve">What students reported</w:t>
      </w:r>
    </w:p>
    <w:p>
      <w:pPr>
        <w:spacing w:after="120" w:line="276"/>
        <w:jc w:val="left"/>
      </w:pPr>
      <w:r>
        <w:rPr>
          <w:rFonts w:ascii="Lexend" w:cs="Lexend" w:eastAsia="Lexend" w:hAnsi="Lexend"/>
          <w:b w:val="false"/>
          <w:bCs w:val="false"/>
          <w:i w:val="false"/>
          <w:iCs w:val="false"/>
          <w:color w:val="26221F"/>
          <w:sz w:val="22"/>
          <w:szCs w:val="22"/>
        </w:rPr>
        <w:t xml:space="preserve">An end-of-course survey went to the first section in its final week. It measures what the redesign was built to move.</w:t>
      </w:r>
    </w:p>
    <w:p>
      <w:pPr>
        <w:pStyle w:val="ListParagraph"/>
        <w:numPr>
          <w:ilvl w:val="0"/>
          <w:numId w:val="2"/>
        </w:numPr>
        <w:spacing w:after="70" w:line="276"/>
        <w:jc w:val="left"/>
      </w:pPr>
      <w:r>
        <w:rPr>
          <w:rFonts w:ascii="Lexend" w:cs="Lexend" w:eastAsia="Lexend" w:hAnsi="Lexend"/>
          <w:color w:val="26221F"/>
          <w:sz w:val="22"/>
          <w:szCs w:val="22"/>
        </w:rPr>
        <w:t xml:space="preserve">Opening the software felt intimidating, lower is better: </w:t>
      </w:r>
      <w:r>
        <w:rPr>
          <w:rFonts w:ascii="Lexend" w:cs="Lexend" w:eastAsia="Lexend" w:hAnsi="Lexend"/>
          <w:b/>
          <w:bCs/>
          <w:color w:val="7A5080"/>
          <w:sz w:val="22"/>
          <w:szCs w:val="22"/>
        </w:rPr>
        <w:t xml:space="preserve">3.3 to 2.0</w:t>
      </w:r>
    </w:p>
    <w:p>
      <w:pPr>
        <w:pStyle w:val="ListParagraph"/>
        <w:numPr>
          <w:ilvl w:val="0"/>
          <w:numId w:val="2"/>
        </w:numPr>
        <w:spacing w:after="70" w:line="276"/>
        <w:jc w:val="left"/>
      </w:pPr>
      <w:r>
        <w:rPr>
          <w:rFonts w:ascii="Lexend" w:cs="Lexend" w:eastAsia="Lexend" w:hAnsi="Lexend"/>
          <w:color w:val="26221F"/>
          <w:sz w:val="22"/>
          <w:szCs w:val="22"/>
        </w:rPr>
        <w:t xml:space="preserve">I know where to go for help at the college: </w:t>
      </w:r>
      <w:r>
        <w:rPr>
          <w:rFonts w:ascii="Lexend" w:cs="Lexend" w:eastAsia="Lexend" w:hAnsi="Lexend"/>
          <w:b/>
          <w:bCs/>
          <w:color w:val="7A5080"/>
          <w:sz w:val="22"/>
          <w:szCs w:val="22"/>
        </w:rPr>
        <w:t xml:space="preserve">3.4 to 4.8</w:t>
      </w:r>
    </w:p>
    <w:p>
      <w:pPr>
        <w:spacing w:after="100" w:line="276"/>
        <w:jc w:val="left"/>
      </w:pPr>
      <w:r>
        <w:rPr>
          <w:rFonts w:ascii="Lexend" w:cs="Lexend" w:eastAsia="Lexend" w:hAnsi="Lexend"/>
          <w:b w:val="false"/>
          <w:bCs w:val="false"/>
          <w:i w:val="false"/>
          <w:iCs w:val="false"/>
          <w:color w:val="26221F"/>
          <w:sz w:val="22"/>
          <w:szCs w:val="22"/>
        </w:rPr>
        <w:t xml:space="preserve">Where students landed by the end, out of 5:</w:t>
      </w:r>
    </w:p>
    <w:p>
      <w:pPr>
        <w:pStyle w:val="ListParagraph"/>
        <w:numPr>
          <w:ilvl w:val="0"/>
          <w:numId w:val="2"/>
        </w:numPr>
        <w:spacing w:after="70" w:line="276"/>
        <w:jc w:val="left"/>
      </w:pPr>
      <w:r>
        <w:rPr>
          <w:rFonts w:ascii="Lexend" w:cs="Lexend" w:eastAsia="Lexend" w:hAnsi="Lexend"/>
          <w:color w:val="26221F"/>
          <w:sz w:val="22"/>
          <w:szCs w:val="22"/>
        </w:rPr>
        <w:t xml:space="preserve">Made something real in each program: </w:t>
      </w:r>
      <w:r>
        <w:rPr>
          <w:rFonts w:ascii="Lexend" w:cs="Lexend" w:eastAsia="Lexend" w:hAnsi="Lexend"/>
          <w:b/>
          <w:bCs/>
          <w:color w:val="7A5080"/>
          <w:sz w:val="22"/>
          <w:szCs w:val="22"/>
        </w:rPr>
        <w:t xml:space="preserve">4.7</w:t>
      </w:r>
    </w:p>
    <w:p>
      <w:pPr>
        <w:pStyle w:val="ListParagraph"/>
        <w:numPr>
          <w:ilvl w:val="0"/>
          <w:numId w:val="2"/>
        </w:numPr>
        <w:spacing w:after="70" w:line="276"/>
        <w:jc w:val="left"/>
      </w:pPr>
      <w:r>
        <w:rPr>
          <w:rFonts w:ascii="Lexend" w:cs="Lexend" w:eastAsia="Lexend" w:hAnsi="Lexend"/>
          <w:color w:val="26221F"/>
          <w:sz w:val="22"/>
          <w:szCs w:val="22"/>
        </w:rPr>
        <w:t xml:space="preserve">Could make a piece again on their own: </w:t>
      </w:r>
      <w:r>
        <w:rPr>
          <w:rFonts w:ascii="Lexend" w:cs="Lexend" w:eastAsia="Lexend" w:hAnsi="Lexend"/>
          <w:b/>
          <w:bCs/>
          <w:color w:val="7A5080"/>
          <w:sz w:val="22"/>
          <w:szCs w:val="22"/>
        </w:rPr>
        <w:t xml:space="preserve">4.6</w:t>
      </w:r>
    </w:p>
    <w:p>
      <w:pPr>
        <w:pStyle w:val="ListParagraph"/>
        <w:numPr>
          <w:ilvl w:val="0"/>
          <w:numId w:val="2"/>
        </w:numPr>
        <w:spacing w:after="70" w:line="276"/>
        <w:jc w:val="left"/>
      </w:pPr>
      <w:r>
        <w:rPr>
          <w:rFonts w:ascii="Lexend" w:cs="Lexend" w:eastAsia="Lexend" w:hAnsi="Lexend"/>
          <w:color w:val="26221F"/>
          <w:sz w:val="22"/>
          <w:szCs w:val="22"/>
        </w:rPr>
        <w:t xml:space="preserve">Want another class using this software: </w:t>
      </w:r>
      <w:r>
        <w:rPr>
          <w:rFonts w:ascii="Lexend" w:cs="Lexend" w:eastAsia="Lexend" w:hAnsi="Lexend"/>
          <w:b/>
          <w:bCs/>
          <w:color w:val="7A5080"/>
          <w:sz w:val="22"/>
          <w:szCs w:val="22"/>
        </w:rPr>
        <w:t xml:space="preserve">4.6</w:t>
      </w:r>
    </w:p>
    <w:p>
      <w:pPr>
        <w:pStyle w:val="ListParagraph"/>
        <w:numPr>
          <w:ilvl w:val="0"/>
          <w:numId w:val="2"/>
        </w:numPr>
        <w:spacing w:after="70" w:line="276"/>
        <w:jc w:val="left"/>
      </w:pPr>
      <w:r>
        <w:rPr>
          <w:rFonts w:ascii="Lexend" w:cs="Lexend" w:eastAsia="Lexend" w:hAnsi="Lexend"/>
          <w:color w:val="26221F"/>
          <w:sz w:val="22"/>
          <w:szCs w:val="22"/>
        </w:rPr>
        <w:t xml:space="preserve">Believed someone here would help them: </w:t>
      </w:r>
      <w:r>
        <w:rPr>
          <w:rFonts w:ascii="Lexend" w:cs="Lexend" w:eastAsia="Lexend" w:hAnsi="Lexend"/>
          <w:b/>
          <w:bCs/>
          <w:color w:val="7A5080"/>
          <w:sz w:val="22"/>
          <w:szCs w:val="22"/>
        </w:rPr>
        <w:t xml:space="preserve">4.9</w:t>
      </w:r>
    </w:p>
    <w:p>
      <w:pPr>
        <w:pStyle w:val="ListParagraph"/>
        <w:numPr>
          <w:ilvl w:val="0"/>
          <w:numId w:val="2"/>
        </w:numPr>
        <w:spacing w:after="70" w:line="276"/>
        <w:jc w:val="left"/>
      </w:pPr>
      <w:r>
        <w:rPr>
          <w:rFonts w:ascii="Lexend" w:cs="Lexend" w:eastAsia="Lexend" w:hAnsi="Lexend"/>
          <w:color w:val="26221F"/>
          <w:sz w:val="22"/>
          <w:szCs w:val="22"/>
        </w:rPr>
        <w:t xml:space="preserve">Proud of the work they made: </w:t>
      </w:r>
      <w:r>
        <w:rPr>
          <w:rFonts w:ascii="Lexend" w:cs="Lexend" w:eastAsia="Lexend" w:hAnsi="Lexend"/>
          <w:b/>
          <w:bCs/>
          <w:color w:val="7A5080"/>
          <w:sz w:val="22"/>
          <w:szCs w:val="22"/>
        </w:rPr>
        <w:t xml:space="preserve">4.7</w:t>
      </w:r>
    </w:p>
    <w:p>
      <w:pPr>
        <w:spacing w:after="160" w:line="276"/>
        <w:jc w:val="left"/>
      </w:pPr>
      <w:r>
        <w:rPr>
          <w:rFonts w:ascii="Lexend" w:cs="Lexend" w:eastAsia="Lexend" w:hAnsi="Lexend"/>
          <w:b w:val="false"/>
          <w:bCs w:val="false"/>
          <w:i w:val="false"/>
          <w:iCs w:val="false"/>
          <w:color w:val="26221F"/>
          <w:sz w:val="22"/>
          <w:szCs w:val="22"/>
        </w:rPr>
        <w:t xml:space="preserve">Students rated instructor feedback and the Discord critique community the most helpful parts of the course. Several had already contacted or looked up a campus service because of it, which is exactly the behavior the support sequence was built to produce.</w:t>
      </w:r>
    </w:p>
    <w:p>
      <w:pPr>
        <w:spacing w:after="200" w:line="276"/>
        <w:jc w:val="left"/>
      </w:pPr>
      <w:r>
        <w:rPr>
          <w:rFonts w:ascii="Lexend" w:cs="Lexend" w:eastAsia="Lexend" w:hAnsi="Lexend"/>
          <w:b w:val="false"/>
          <w:bCs w:val="false"/>
          <w:i w:val="false"/>
          <w:iCs w:val="false"/>
          <w:color w:val="6D635F"/>
          <w:sz w:val="20"/>
          <w:szCs w:val="20"/>
        </w:rPr>
        <w:t xml:space="preserve">Completion figures are not included here. I am waiting on Institutional Research to confirm them before putting a number in front of anyone.</w:t>
      </w:r>
    </w:p>
    <w:p>
      <w:pPr>
        <w:pStyle w:val="Heading2"/>
        <w:spacing w:after="120" w:before="300"/>
        <w:jc w:val="left"/>
      </w:pPr>
      <w:r>
        <w:rPr>
          <w:rFonts w:ascii="Lexend" w:cs="Lexend" w:eastAsia="Lexend" w:hAnsi="Lexend"/>
          <w:b/>
          <w:bCs/>
          <w:color w:val="7A5080"/>
          <w:sz w:val="26"/>
          <w:szCs w:val="26"/>
        </w:rPr>
        <w:t xml:space="preserve">A student reflection</w:t>
      </w:r>
    </w:p>
    <w:p>
      <w:pPr>
        <w:spacing w:after="120" w:line="276"/>
        <w:jc w:val="left"/>
      </w:pPr>
      <w:r>
        <w:rPr>
          <w:rFonts w:ascii="Lexend" w:cs="Lexend" w:eastAsia="Lexend" w:hAnsi="Lexend"/>
          <w:b w:val="false"/>
          <w:bCs w:val="false"/>
          <w:i w:val="false"/>
          <w:iCs w:val="false"/>
          <w:color w:val="26221F"/>
          <w:sz w:val="22"/>
          <w:szCs w:val="22"/>
        </w:rPr>
        <w:t xml:space="preserve">A student in the first section published this in their own portfolio, for their own audience rather than for me, unsolicited. Quoted anonymously with their permission.</w:t>
      </w:r>
    </w:p>
    <w:p>
      <w:pPr>
        <w:spacing w:after="120" w:line="276"/>
        <w:ind w:left="480"/>
        <w:jc w:val="left"/>
      </w:pPr>
      <w:r>
        <w:rPr>
          <w:rFonts w:ascii="Lexend" w:cs="Lexend" w:eastAsia="Lexend" w:hAnsi="Lexend"/>
          <w:i/>
          <w:iCs/>
          <w:color w:val="6D635F"/>
          <w:sz w:val="22"/>
          <w:szCs w:val="22"/>
        </w:rPr>
        <w:t xml:space="preserve">“I felt such a sense of community within the Discord and I enjoyed making art with my peers. I’ve always wanted to get into After Effects for video editing, but never quite knew how to start. All I had was Clipchamp and iMovie. This was a great way to get me started on that path, and I look forward to learning more.</w:t>
      </w:r>
    </w:p>
    <w:p>
      <w:pPr>
        <w:spacing w:after="120" w:line="276"/>
        <w:ind w:left="480"/>
        <w:jc w:val="left"/>
      </w:pPr>
      <w:r>
        <w:rPr>
          <w:rFonts w:ascii="Lexend" w:cs="Lexend" w:eastAsia="Lexend" w:hAnsi="Lexend"/>
          <w:i/>
          <w:iCs/>
          <w:color w:val="6D635F"/>
          <w:sz w:val="22"/>
          <w:szCs w:val="22"/>
        </w:rPr>
        <w:t xml:space="preserve">I’m very eager to keep pursuing the Visual and Performing Arts in the future, even if I’m currently in Computer and Information Technology. Art and animation have been my true loves for a long time, and I’m happy that I’m getting closer and closer to becoming the animator and game developer that I want to be.”</w:t>
      </w:r>
    </w:p>
    <w:p>
      <w:pPr>
        <w:spacing w:after="200" w:line="276"/>
        <w:jc w:val="left"/>
      </w:pPr>
      <w:r>
        <w:rPr>
          <w:rFonts w:ascii="Lexend" w:cs="Lexend" w:eastAsia="Lexend" w:hAnsi="Lexend"/>
          <w:b w:val="false"/>
          <w:bCs w:val="false"/>
          <w:i w:val="false"/>
          <w:iCs w:val="false"/>
          <w:color w:val="26221F"/>
          <w:sz w:val="22"/>
          <w:szCs w:val="22"/>
        </w:rPr>
        <w:t xml:space="preserve">One response is not a finding. But it was written for the student’s own audience rather than for the course, so there is little risk of a courtesy effect, and it names the three things the redesign was built to produce: connection to peers, less fear of the software, and the intention to continue.</w:t>
      </w:r>
    </w:p>
    <w:p>
      <w:pPr>
        <w:pStyle w:val="Heading2"/>
        <w:spacing w:after="120" w:before="300"/>
        <w:jc w:val="left"/>
      </w:pPr>
      <w:r>
        <w:rPr>
          <w:rFonts w:ascii="Lexend" w:cs="Lexend" w:eastAsia="Lexend" w:hAnsi="Lexend"/>
          <w:b/>
          <w:bCs/>
          <w:color w:val="7A5080"/>
          <w:sz w:val="26"/>
          <w:szCs w:val="26"/>
        </w:rPr>
        <w:t xml:space="preserve">Where it stands</w:t>
      </w:r>
    </w:p>
    <w:p>
      <w:pPr>
        <w:spacing w:after="160" w:line="276"/>
        <w:jc w:val="left"/>
      </w:pPr>
      <w:r>
        <w:rPr>
          <w:rFonts w:ascii="Lexend" w:cs="Lexend" w:eastAsia="Lexend" w:hAnsi="Lexend"/>
          <w:b w:val="false"/>
          <w:bCs w:val="false"/>
          <w:i w:val="false"/>
          <w:iCs w:val="false"/>
          <w:color w:val="26221F"/>
          <w:sz w:val="22"/>
          <w:szCs w:val="22"/>
        </w:rPr>
        <w:t xml:space="preserve">Built and taught, and already running with students. A week-one baseline is in place for fall, worded to match the end-of-course items line by line, so each cohort can be compared against its own starting point. Completion data will follow once Institutional Research confirms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Lexend" w:cs="Lexend" w:eastAsia="Lexend" w:hAnsi="Lexend"/>
        <w:color w:val="7A50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Digital Art Redesign, Summary and Early Results</dc:title>
  <dc:creator>Michelle Blomberg</dc:creator>
  <dc:description>Summary of the Intro to Digital Art redesign and early results</dc:description>
  <cp:lastModifiedBy>Un-named</cp:lastModifiedBy>
  <cp:revision>1</cp:revision>
  <dcterms:created xsi:type="dcterms:W3CDTF">2026-09-21T20:47:05.840Z</dcterms:created>
  <dcterms:modified xsi:type="dcterms:W3CDTF">2026-09-21T20:47:05.840Z</dcterms:modified>
</cp:coreProperties>
</file>

<file path=docProps/custom.xml><?xml version="1.0" encoding="utf-8"?>
<Properties xmlns="http://schemas.openxmlformats.org/officeDocument/2006/custom-properties" xmlns:vt="http://schemas.openxmlformats.org/officeDocument/2006/docPropsVTypes"/>
</file>