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numPr>
          <w:ilvl w:val="0"/>
          <w:numId w:val="7"/>
        </w:numPr>
        <w:bidi w:val="0"/>
        <w:jc w:val="start"/>
        <w:rPr/>
      </w:pPr>
      <w:r>
        <w:rPr>
          <w:rStyle w:val="Hyperlink"/>
        </w:rPr>
        <w:t>www.steves-internet-guide.com/ipv4-basics/</w:t>
      </w:r>
    </w:p>
    <w:p>
      <w:pPr>
        <w:pStyle w:val="Normal"/>
        <w:numPr>
          <w:ilvl w:val="0"/>
          <w:numId w:val="7"/>
        </w:numPr>
        <w:bidi w:val="0"/>
        <w:jc w:val="start"/>
        <w:rPr/>
      </w:pPr>
      <w:r>
        <w:rPr/>
        <w:t>www.steves-internet-guide.com/subnetting-subnet-masks-explained/</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5 classes (equivalent to 5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0"/>
        <w:gridCol w:w="4686"/>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0"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6"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0"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6"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0"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6"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0"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6"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there are 3 main classes 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first 24 bits (3 bytes).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using the Logical “</w:t>
      </w:r>
      <w:r>
        <w:rPr>
          <w:rFonts w:ascii="Calibri" w:hAnsi="Calibri"/>
          <w:b/>
          <w:bCs/>
          <w:sz w:val="24"/>
          <w:szCs w:val="24"/>
        </w:rPr>
        <w:t>And</w:t>
      </w:r>
      <w:r>
        <w:rPr>
          <w:rFonts w:ascii="Calibri" w:hAnsi="Calibri"/>
          <w:b w:val="false"/>
          <w:bCs w:val="false"/>
          <w:sz w:val="24"/>
          <w:szCs w:val="24"/>
        </w:rPr>
        <w:t>” gates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Heading3"/>
        <w:bidi w:val="0"/>
        <w:spacing w:before="0" w:after="0"/>
        <w:jc w:val="both"/>
        <w:rPr>
          <w:rFonts w:ascii="Gudea;arial;helvetica;sans-serif" w:hAnsi="Gudea;arial;helvetica;sans-serif"/>
          <w:b/>
          <w:bCs/>
          <w:i w:val="false"/>
          <w:i w:val="false"/>
          <w:caps w:val="false"/>
          <w:smallCaps w:val="false"/>
          <w:color w:val="303030"/>
          <w:spacing w:val="0"/>
        </w:rPr>
      </w:pPr>
      <w:r>
        <w:rPr>
          <w:rFonts w:ascii="Calibri" w:hAnsi="Calibri"/>
          <w:b/>
          <w:bCs/>
          <w:i w:val="false"/>
          <w:caps w:val="false"/>
          <w:smallCaps w:val="false"/>
          <w:color w:val="303030"/>
          <w:spacing w:val="0"/>
          <w:sz w:val="24"/>
          <w:szCs w:val="24"/>
        </w:rPr>
        <w:t>Classless Inter-Domain Routing (CIDR)</w:t>
      </w:r>
    </w:p>
    <w:p>
      <w:pPr>
        <w:pStyle w:val="BodyText"/>
        <w:bidi w:val="0"/>
        <w:spacing w:before="0" w:after="0"/>
        <w:jc w:val="both"/>
        <w:rPr>
          <w:rFonts w:ascii="Calibri" w:hAnsi="Calibri"/>
          <w:sz w:val="24"/>
          <w:szCs w:val="24"/>
        </w:rPr>
      </w:pPr>
      <w:r>
        <w:rPr>
          <w:rFonts w:ascii="Calibri" w:hAnsi="Calibri"/>
          <w:sz w:val="24"/>
          <w:szCs w:val="24"/>
        </w:rPr>
      </w:r>
    </w:p>
    <w:p>
      <w:pPr>
        <w:pStyle w:val="BodyText"/>
        <w:bidi w:val="0"/>
        <w:spacing w:before="0" w:after="0"/>
        <w:jc w:val="both"/>
        <w:rPr>
          <w:rFonts w:ascii="Gudea;arial;helvetica;sans-serif" w:hAnsi="Gudea;arial;helvetica;sans-serif"/>
          <w:b/>
          <w:bCs/>
          <w:i w:val="false"/>
          <w:i w:val="false"/>
          <w:caps w:val="false"/>
          <w:smallCaps w:val="false"/>
          <w:color w:val="303030"/>
          <w:spacing w:val="0"/>
        </w:rPr>
      </w:pPr>
      <w:r>
        <w:rPr>
          <w:rStyle w:val="Strong"/>
          <w:rFonts w:ascii="Calibri" w:hAnsi="Calibri"/>
          <w:b w:val="false"/>
          <w:bCs w:val="false"/>
          <w:i w:val="false"/>
          <w:caps w:val="false"/>
          <w:smallCaps w:val="false"/>
          <w:color w:val="303030"/>
          <w:spacing w:val="0"/>
          <w:sz w:val="24"/>
          <w:szCs w:val="24"/>
        </w:rPr>
        <w:t>Classless Inter-Domain Routing</w:t>
      </w:r>
      <w:r>
        <w:rPr>
          <w:rFonts w:ascii="Calibri" w:hAnsi="Calibri"/>
          <w:b w:val="false"/>
          <w:bCs w:val="false"/>
          <w:i w:val="false"/>
          <w:caps w:val="false"/>
          <w:smallCaps w:val="false"/>
          <w:color w:val="303030"/>
          <w:spacing w:val="0"/>
          <w:sz w:val="24"/>
          <w:szCs w:val="24"/>
        </w:rPr>
        <w:t> was introduced in 1993 to replace the classful network design.</w:t>
      </w:r>
    </w:p>
    <w:p>
      <w:pPr>
        <w:pStyle w:val="BodyText"/>
        <w:widowControl/>
        <w:ind w:hanging="0" w:start="0" w:end="0"/>
        <w:jc w:val="both"/>
        <w:rPr/>
      </w:pPr>
      <w:r>
        <w:rPr>
          <w:rFonts w:ascii="Calibri" w:hAnsi="Calibri"/>
          <w:b w:val="false"/>
          <w:bCs w:val="false"/>
          <w:i w:val="false"/>
          <w:caps w:val="false"/>
          <w:smallCaps w:val="false"/>
          <w:color w:val="303030"/>
          <w:spacing w:val="0"/>
          <w:sz w:val="24"/>
          <w:szCs w:val="24"/>
        </w:rPr>
        <w:t>Instead of allocating network addresses using address classes based on 8 bit groups it uses</w:t>
      </w:r>
      <w:r>
        <w:rPr>
          <w:rStyle w:val="Strong"/>
          <w:rFonts w:ascii="Calibri" w:hAnsi="Calibri"/>
          <w:b w:val="false"/>
          <w:bCs w:val="false"/>
          <w:i w:val="false"/>
          <w:caps w:val="false"/>
          <w:smallCaps w:val="false"/>
          <w:color w:val="303030"/>
          <w:spacing w:val="0"/>
          <w:sz w:val="24"/>
          <w:szCs w:val="24"/>
        </w:rPr>
        <w:t> variable length subnet masking</w:t>
      </w:r>
      <w:r>
        <w:rPr>
          <w:rFonts w:ascii="Calibri" w:hAnsi="Calibri"/>
          <w:b w:val="false"/>
          <w:bCs w:val="false"/>
          <w:i w:val="false"/>
          <w:caps w:val="false"/>
          <w:smallCaps w:val="false"/>
          <w:color w:val="303030"/>
          <w:spacing w:val="0"/>
          <w:sz w:val="24"/>
          <w:szCs w:val="24"/>
        </w:rPr>
        <w:t>.</w:t>
      </w:r>
    </w:p>
    <w:p>
      <w:pPr>
        <w:pStyle w:val="BodyText"/>
        <w:widowControl/>
        <w:ind w:hanging="0" w:start="0" w:end="0"/>
        <w:jc w:val="both"/>
        <w:rPr>
          <w:rFonts w:ascii="Calibri" w:hAnsi="Calibri"/>
          <w:b w:val="false"/>
          <w:bCs w:val="false"/>
          <w:i w:val="false"/>
          <w:i w:val="false"/>
          <w:caps w:val="false"/>
          <w:smallCaps w:val="false"/>
          <w:color w:val="303030"/>
          <w:spacing w:val="0"/>
          <w:sz w:val="24"/>
          <w:szCs w:val="24"/>
        </w:rPr>
      </w:pPr>
      <w:r>
        <w:rPr>
          <w:rFonts w:ascii="Calibri" w:hAnsi="Calibri"/>
          <w:b w:val="false"/>
          <w:bCs w:val="false"/>
          <w:i w:val="false"/>
          <w:caps w:val="false"/>
          <w:smallCaps w:val="false"/>
          <w:color w:val="303030"/>
          <w:spacing w:val="0"/>
          <w:sz w:val="24"/>
          <w:szCs w:val="24"/>
        </w:rPr>
      </w:r>
    </w:p>
    <w:p>
      <w:pPr>
        <w:pStyle w:val="Heading4"/>
        <w:widowControl/>
        <w:ind w:hanging="0" w:start="0" w:end="0"/>
        <w:jc w:val="center"/>
        <w:rPr>
          <w:rFonts w:ascii="Gudea;arial;helvetica;sans-serif" w:hAnsi="Gudea;arial;helvetica;sans-serif"/>
          <w:b/>
          <w:bCs/>
          <w:i w:val="false"/>
          <w:i w:val="false"/>
          <w:caps w:val="false"/>
          <w:smallCaps w:val="false"/>
          <w:color w:val="303030"/>
          <w:spacing w:val="0"/>
        </w:rPr>
      </w:pPr>
      <w:r>
        <w:rPr>
          <w:rFonts w:ascii="Calibri" w:hAnsi="Calibri"/>
          <w:b/>
          <w:bCs/>
          <w:i w:val="false"/>
          <w:caps w:val="false"/>
          <w:smallCaps w:val="false"/>
          <w:color w:val="303030"/>
          <w:spacing w:val="0"/>
          <w:sz w:val="24"/>
          <w:szCs w:val="24"/>
        </w:rPr>
        <w:t>Table: CIDR and Subnet Examples</w:t>
      </w:r>
    </w:p>
    <w:tbl>
      <w:tblPr>
        <w:tblW w:w="5000" w:type="pct"/>
        <w:jc w:val="start"/>
        <w:tblInd w:w="-5" w:type="dxa"/>
        <w:tblLayout w:type="fixed"/>
        <w:tblCellMar>
          <w:top w:w="55" w:type="dxa"/>
          <w:start w:w="55" w:type="dxa"/>
          <w:bottom w:w="55" w:type="dxa"/>
          <w:end w:w="55" w:type="dxa"/>
        </w:tblCellMar>
      </w:tblPr>
      <w:tblGrid>
        <w:gridCol w:w="1404"/>
        <w:gridCol w:w="1527"/>
        <w:gridCol w:w="1262"/>
        <w:gridCol w:w="2249"/>
        <w:gridCol w:w="1173"/>
        <w:gridCol w:w="2356"/>
      </w:tblGrid>
      <w:tr>
        <w:trPr/>
        <w:tc>
          <w:tcPr>
            <w:tcW w:w="1404" w:type="dxa"/>
            <w:tcBorders>
              <w:top w:val="single" w:sz="4" w:space="0" w:color="000000"/>
              <w:start w:val="single" w:sz="4" w:space="0" w:color="000000"/>
              <w:bottom w:val="single" w:sz="4" w:space="0" w:color="000000"/>
            </w:tcBorders>
          </w:tcPr>
          <w:p>
            <w:pPr>
              <w:pStyle w:val="TableContents"/>
              <w:jc w:val="center"/>
              <w:rPr>
                <w:rFonts w:ascii="Calibri" w:hAnsi="Calibri"/>
                <w:b/>
                <w:bCs/>
              </w:rPr>
            </w:pPr>
            <w:r>
              <w:rPr>
                <w:rFonts w:ascii="Calibri" w:hAnsi="Calibri"/>
                <w:b/>
                <w:bCs/>
                <w:i w:val="false"/>
                <w:caps w:val="false"/>
                <w:smallCaps w:val="false"/>
                <w:color w:val="303030"/>
                <w:spacing w:val="0"/>
                <w:sz w:val="27"/>
              </w:rPr>
              <w:t>Address Class</w:t>
            </w:r>
            <w:r>
              <w:rPr>
                <w:rFonts w:ascii="Calibri" w:hAnsi="Calibri"/>
                <w:b/>
                <w:bCs/>
              </w:rPr>
              <w:t xml:space="preserve"> </w:t>
            </w:r>
          </w:p>
        </w:tc>
        <w:tc>
          <w:tcPr>
            <w:tcW w:w="1527"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No of Network Bits</w:t>
            </w:r>
            <w:r>
              <w:rPr>
                <w:rFonts w:ascii="Calibri" w:hAnsi="Calibri"/>
                <w:b/>
                <w:bCs/>
              </w:rPr>
              <w:t xml:space="preserve"> </w:t>
            </w:r>
          </w:p>
        </w:tc>
        <w:tc>
          <w:tcPr>
            <w:tcW w:w="1262"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No of Host Bits</w:t>
            </w:r>
            <w:r>
              <w:rPr>
                <w:rFonts w:ascii="Calibri" w:hAnsi="Calibri"/>
                <w:b/>
                <w:bCs/>
              </w:rPr>
              <w:t xml:space="preserve"> </w:t>
            </w:r>
          </w:p>
        </w:tc>
        <w:tc>
          <w:tcPr>
            <w:tcW w:w="2249"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Subnet mask</w:t>
            </w:r>
            <w:r>
              <w:rPr>
                <w:rFonts w:ascii="Calibri" w:hAnsi="Calibri"/>
                <w:b/>
                <w:bCs/>
              </w:rPr>
              <w:t xml:space="preserve"> </w:t>
            </w:r>
          </w:p>
        </w:tc>
        <w:tc>
          <w:tcPr>
            <w:tcW w:w="1173"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CIDR Notation</w:t>
            </w:r>
            <w:r>
              <w:rPr>
                <w:rFonts w:ascii="Calibri" w:hAnsi="Calibri"/>
                <w:b/>
                <w:bCs/>
              </w:rPr>
              <w:t xml:space="preserve"> </w:t>
            </w:r>
          </w:p>
        </w:tc>
        <w:tc>
          <w:tcPr>
            <w:tcW w:w="2356" w:type="dxa"/>
            <w:tcBorders>
              <w:top w:val="single" w:sz="4" w:space="0" w:color="000000"/>
              <w:start w:val="single" w:sz="4" w:space="0" w:color="000000"/>
              <w:bottom w:val="single" w:sz="4" w:space="0" w:color="000000"/>
              <w:end w:val="single" w:sz="4" w:space="0" w:color="000000"/>
            </w:tcBorders>
          </w:tcPr>
          <w:p>
            <w:pPr>
              <w:pStyle w:val="TableContents"/>
              <w:widowControl/>
              <w:ind w:hanging="0" w:start="0" w:end="0"/>
              <w:jc w:val="center"/>
              <w:rPr>
                <w:rFonts w:ascii="Calibri" w:hAnsi="Calibri"/>
                <w:b/>
                <w:bCs/>
              </w:rPr>
            </w:pPr>
            <w:r>
              <w:rPr>
                <w:rFonts w:ascii="Calibri" w:hAnsi="Calibri"/>
                <w:b/>
                <w:bCs/>
              </w:rPr>
              <w:t>IPv4 Ranges</w:t>
            </w:r>
          </w:p>
        </w:tc>
      </w:tr>
      <w:tr>
        <w:trPr/>
        <w:tc>
          <w:tcPr>
            <w:tcW w:w="1404"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A</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14</w:t>
            </w:r>
          </w:p>
        </w:tc>
        <w:tc>
          <w:tcPr>
            <w:tcW w:w="1262"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18</w:t>
            </w:r>
          </w:p>
        </w:tc>
        <w:tc>
          <w:tcPr>
            <w:tcW w:w="2249"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w:t>
            </w:r>
            <w:r>
              <w:rPr>
                <w:rFonts w:ascii="Calibri" w:hAnsi="Calibri"/>
                <w:b w:val="false"/>
                <w:i w:val="false"/>
                <w:caps w:val="false"/>
                <w:smallCaps w:val="false"/>
                <w:color w:val="303030"/>
                <w:spacing w:val="0"/>
                <w:sz w:val="24"/>
                <w:szCs w:val="24"/>
              </w:rPr>
              <w:t>252</w:t>
            </w:r>
            <w:r>
              <w:rPr>
                <w:rFonts w:ascii="Calibri" w:hAnsi="Calibri"/>
                <w:b w:val="false"/>
                <w:i w:val="false"/>
                <w:caps w:val="false"/>
                <w:smallCaps w:val="false"/>
                <w:color w:val="303030"/>
                <w:spacing w:val="0"/>
                <w:sz w:val="24"/>
                <w:szCs w:val="24"/>
              </w:rPr>
              <w:t>.0.0</w:t>
            </w:r>
          </w:p>
          <w:p>
            <w:pPr>
              <w:pStyle w:val="TableContents"/>
              <w:jc w:val="center"/>
              <w:rPr>
                <w:b w:val="false"/>
                <w:i w:val="false"/>
                <w:i w:val="false"/>
                <w:caps w:val="false"/>
                <w:smallCaps w:val="false"/>
                <w:color w:val="303030"/>
                <w:spacing w:val="0"/>
              </w:rPr>
            </w:pPr>
            <w:r>
              <w:rPr>
                <w:b w:val="false"/>
                <w:i w:val="false"/>
                <w:caps w:val="false"/>
                <w:smallCaps w:val="false"/>
                <w:color w:val="303030"/>
                <w:spacing w:val="0"/>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w:t>
            </w:r>
            <w:r>
              <w:rPr>
                <w:rFonts w:ascii="Calibri" w:hAnsi="Calibri"/>
                <w:b w:val="false"/>
                <w:i w:val="false"/>
                <w:caps w:val="false"/>
                <w:smallCaps w:val="false"/>
                <w:color w:val="FF0000"/>
                <w:spacing w:val="0"/>
                <w:sz w:val="24"/>
                <w:szCs w:val="24"/>
              </w:rPr>
              <w:t>1</w:t>
            </w:r>
            <w:r>
              <w:rPr>
                <w:rFonts w:ascii="Calibri" w:hAnsi="Calibri"/>
                <w:b w:val="false"/>
                <w:i w:val="false"/>
                <w:caps w:val="false"/>
                <w:smallCaps w:val="false"/>
                <w:color w:val="303030"/>
                <w:spacing w:val="0"/>
                <w:sz w:val="24"/>
                <w:szCs w:val="24"/>
              </w:rPr>
              <w:t>00.00000000.00000000</w:t>
            </w:r>
            <w:r>
              <w:rPr>
                <w:rFonts w:ascii="Calibri" w:hAnsi="Calibri"/>
                <w:sz w:val="24"/>
                <w:szCs w:val="24"/>
              </w:rPr>
              <w:t xml:space="preserve"> </w:t>
            </w:r>
          </w:p>
        </w:tc>
        <w:tc>
          <w:tcPr>
            <w:tcW w:w="1173"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/14</w:t>
            </w:r>
            <w:r>
              <w:rPr>
                <w:rFonts w:ascii="Calibri" w:hAnsi="Calibri"/>
                <w:sz w:val="24"/>
                <w:szCs w:val="24"/>
              </w:rPr>
              <w:t xml:space="preserve"> </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127.0.0.0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127.252.255.255</w:t>
            </w:r>
          </w:p>
          <w:p>
            <w:pPr>
              <w:pStyle w:val="TableContents"/>
              <w:jc w:val="center"/>
              <w:rPr>
                <w:rFonts w:ascii="Calibri" w:hAnsi="Calibri"/>
                <w:sz w:val="24"/>
                <w:szCs w:val="24"/>
              </w:rPr>
            </w:pPr>
            <w:r>
              <w:rPr>
                <w:rFonts w:ascii="Calibri" w:hAnsi="Calibri"/>
                <w:sz w:val="24"/>
                <w:szCs w:val="24"/>
              </w:rPr>
            </w:r>
          </w:p>
        </w:tc>
      </w:tr>
      <w:tr>
        <w:trPr/>
        <w:tc>
          <w:tcPr>
            <w:tcW w:w="1404"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B</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20</w:t>
            </w:r>
            <w:r>
              <w:rPr>
                <w:rFonts w:ascii="Calibri" w:hAnsi="Calibri"/>
                <w:sz w:val="24"/>
                <w:szCs w:val="24"/>
              </w:rPr>
              <w:t xml:space="preserve"> </w:t>
            </w:r>
          </w:p>
        </w:tc>
        <w:tc>
          <w:tcPr>
            <w:tcW w:w="1262"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12</w:t>
            </w:r>
          </w:p>
        </w:tc>
        <w:tc>
          <w:tcPr>
            <w:tcW w:w="2249"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255.255.240.0</w:t>
            </w:r>
            <w:r>
              <w:rPr>
                <w:rFonts w:ascii="Calibri" w:hAnsi="Calibri"/>
                <w:sz w:val="24"/>
                <w:szCs w:val="24"/>
              </w:rPr>
              <w:t xml:space="preserve"> </w:t>
            </w:r>
          </w:p>
          <w:p>
            <w:pPr>
              <w:pStyle w:val="TableContents"/>
              <w:jc w:val="center"/>
              <w:rPr>
                <w:rFonts w:ascii="Calibri" w:hAnsi="Calibri"/>
                <w:sz w:val="24"/>
                <w:szCs w:val="24"/>
              </w:rPr>
            </w:pPr>
            <w:r>
              <w:rPr>
                <w:rFonts w:ascii="Calibri" w:hAnsi="Calibri"/>
                <w:sz w:val="24"/>
                <w:szCs w:val="24"/>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w:t>
            </w:r>
            <w:r>
              <w:rPr>
                <w:rFonts w:ascii="Calibri" w:hAnsi="Calibri"/>
                <w:b w:val="false"/>
                <w:i w:val="false"/>
                <w:caps w:val="false"/>
                <w:smallCaps w:val="false"/>
                <w:color w:val="000000"/>
                <w:spacing w:val="0"/>
                <w:sz w:val="24"/>
                <w:szCs w:val="24"/>
              </w:rPr>
              <w:t>0000</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000000"/>
                <w:spacing w:val="0"/>
                <w:sz w:val="24"/>
                <w:szCs w:val="24"/>
              </w:rPr>
              <w:t>0</w:t>
            </w:r>
            <w:r>
              <w:rPr>
                <w:rFonts w:ascii="Calibri" w:hAnsi="Calibri"/>
                <w:b w:val="false"/>
                <w:i w:val="false"/>
                <w:caps w:val="false"/>
                <w:smallCaps w:val="false"/>
                <w:color w:val="303030"/>
                <w:spacing w:val="0"/>
                <w:sz w:val="24"/>
                <w:szCs w:val="24"/>
              </w:rPr>
              <w:t>0000000</w:t>
            </w:r>
          </w:p>
        </w:tc>
        <w:tc>
          <w:tcPr>
            <w:tcW w:w="1173" w:type="dxa"/>
            <w:tcBorders>
              <w:start w:val="single" w:sz="4" w:space="0" w:color="000000"/>
              <w:bottom w:val="single" w:sz="4" w:space="0" w:color="000000"/>
            </w:tcBorders>
          </w:tcPr>
          <w:p>
            <w:pPr>
              <w:pStyle w:val="TableContents"/>
              <w:jc w:val="center"/>
              <w:rPr>
                <w:rFonts w:ascii="Calibri" w:hAnsi="Calibri"/>
                <w:sz w:val="24"/>
                <w:szCs w:val="24"/>
                <w:highlight w:val="none"/>
                <w:shd w:fill="FFFFFF" w:val="clear"/>
              </w:rPr>
            </w:pPr>
            <w:r>
              <w:rPr>
                <w:rFonts w:ascii="Calibri" w:hAnsi="Calibri"/>
                <w:b w:val="false"/>
                <w:i w:val="false"/>
                <w:caps w:val="false"/>
                <w:smallCaps w:val="false"/>
                <w:color w:val="303030"/>
                <w:spacing w:val="0"/>
                <w:sz w:val="24"/>
                <w:szCs w:val="24"/>
                <w:shd w:fill="FFFFFF" w:val="clear"/>
              </w:rPr>
              <w:t>/20</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128.0.0.0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191.255.240.255</w:t>
            </w:r>
          </w:p>
        </w:tc>
      </w:tr>
      <w:tr>
        <w:trPr/>
        <w:tc>
          <w:tcPr>
            <w:tcW w:w="1404"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C</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28</w:t>
            </w:r>
          </w:p>
        </w:tc>
        <w:tc>
          <w:tcPr>
            <w:tcW w:w="1262"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4</w:t>
            </w:r>
          </w:p>
        </w:tc>
        <w:tc>
          <w:tcPr>
            <w:tcW w:w="2249"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255.255.255.240</w:t>
            </w:r>
            <w:r>
              <w:rPr>
                <w:rFonts w:ascii="Calibri" w:hAnsi="Calibri"/>
                <w:sz w:val="24"/>
                <w:szCs w:val="24"/>
              </w:rPr>
              <w:t xml:space="preserve"> </w:t>
            </w:r>
          </w:p>
          <w:p>
            <w:pPr>
              <w:pStyle w:val="TableContents"/>
              <w:jc w:val="center"/>
              <w:rPr>
                <w:rFonts w:ascii="Calibri" w:hAnsi="Calibri"/>
                <w:sz w:val="24"/>
                <w:szCs w:val="24"/>
              </w:rPr>
            </w:pPr>
            <w:r>
              <w:rPr>
                <w:rFonts w:ascii="Calibri" w:hAnsi="Calibri"/>
                <w:sz w:val="24"/>
                <w:szCs w:val="24"/>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w:t>
            </w:r>
            <w:r>
              <w:rPr>
                <w:rFonts w:ascii="Calibri" w:hAnsi="Calibri"/>
                <w:b w:val="false"/>
                <w:i w:val="false"/>
                <w:caps w:val="false"/>
                <w:smallCaps w:val="false"/>
                <w:color w:val="303030"/>
                <w:spacing w:val="0"/>
                <w:sz w:val="24"/>
                <w:szCs w:val="24"/>
              </w:rPr>
              <w:t>0000</w:t>
            </w:r>
          </w:p>
        </w:tc>
        <w:tc>
          <w:tcPr>
            <w:tcW w:w="1173" w:type="dxa"/>
            <w:tcBorders>
              <w:start w:val="single" w:sz="4" w:space="0" w:color="000000"/>
              <w:bottom w:val="single" w:sz="4" w:space="0" w:color="000000"/>
            </w:tcBorders>
          </w:tcPr>
          <w:p>
            <w:pPr>
              <w:pStyle w:val="TableContents"/>
              <w:jc w:val="center"/>
              <w:rPr>
                <w:rFonts w:ascii="Calibri" w:hAnsi="Calibri"/>
                <w:sz w:val="24"/>
                <w:szCs w:val="24"/>
                <w:highlight w:val="none"/>
                <w:shd w:fill="FFFF00" w:val="clear"/>
              </w:rPr>
            </w:pPr>
            <w:r>
              <w:rPr>
                <w:rFonts w:ascii="Calibri" w:hAnsi="Calibri"/>
                <w:sz w:val="24"/>
                <w:szCs w:val="24"/>
                <w:shd w:fill="FFFF00" w:val="clear"/>
              </w:rPr>
              <w:t>/28</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192.0.0.0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N/A</w:t>
            </w:r>
          </w:p>
        </w:tc>
      </w:tr>
    </w:tbl>
    <w:p>
      <w:pPr>
        <w:pStyle w:val="BodyText"/>
        <w:widowControl/>
        <w:ind w:hanging="0" w:start="0" w:end="0"/>
        <w:jc w:val="both"/>
        <w:rPr>
          <w:rFonts w:ascii="Calibri" w:hAnsi="Calibri"/>
          <w:b w:val="false"/>
          <w:bCs w:val="false"/>
          <w:i w:val="false"/>
          <w:i w:val="false"/>
          <w:caps w:val="false"/>
          <w:smallCaps w:val="false"/>
          <w:color w:val="303030"/>
          <w:spacing w:val="0"/>
          <w:sz w:val="24"/>
          <w:szCs w:val="24"/>
        </w:rPr>
      </w:pPr>
      <w:r>
        <w:rPr>
          <w:rFonts w:ascii="Calibri" w:hAnsi="Calibri"/>
          <w:b w:val="false"/>
          <w:bCs w:val="false"/>
          <w:i w:val="false"/>
          <w:caps w:val="false"/>
          <w:smallCaps w:val="false"/>
          <w:color w:val="303030"/>
          <w:spacing w:val="0"/>
          <w:sz w:val="24"/>
          <w:szCs w:val="24"/>
        </w:rPr>
      </w:r>
    </w:p>
    <w:p>
      <w:pPr>
        <w:pStyle w:val="BodyText"/>
        <w:bidi w:val="0"/>
        <w:spacing w:before="0" w:after="0"/>
        <w:jc w:val="both"/>
        <w:rPr/>
      </w:pPr>
      <w:r>
        <w:rPr>
          <w:rFonts w:ascii="Calibri" w:hAnsi="Calibri"/>
          <w:b w:val="false"/>
          <w:bCs w:val="false"/>
          <w:sz w:val="24"/>
          <w:szCs w:val="24"/>
        </w:rPr>
        <w:t xml:space="preserve">Although variable length of subneting mask, still needs to follow the subnet mask structure. The structure should be “Network.Subnet.Subnet.Node”. The </w:t>
      </w:r>
      <w:r>
        <w:rPr>
          <w:rFonts w:ascii="Calibri" w:hAnsi="Calibri"/>
          <w:b/>
          <w:bCs/>
          <w:color w:val="FF0000"/>
          <w:sz w:val="24"/>
          <w:szCs w:val="24"/>
        </w:rPr>
        <w:t>last byte</w:t>
      </w:r>
      <w:r>
        <w:rPr>
          <w:rFonts w:ascii="Calibri" w:hAnsi="Calibri"/>
          <w:b w:val="false"/>
          <w:bCs w:val="false"/>
          <w:sz w:val="24"/>
          <w:szCs w:val="24"/>
        </w:rPr>
        <w:t xml:space="preserve"> should be a “</w:t>
      </w:r>
      <w:r>
        <w:rPr>
          <w:rFonts w:ascii="Calibri" w:hAnsi="Calibri"/>
          <w:b/>
          <w:bCs/>
          <w:color w:val="FF0000"/>
          <w:sz w:val="24"/>
          <w:szCs w:val="24"/>
        </w:rPr>
        <w:t>Node</w:t>
      </w:r>
      <w:r>
        <w:rPr>
          <w:rFonts w:ascii="Calibri" w:hAnsi="Calibri"/>
          <w:b w:val="false"/>
          <w:bCs w:val="false"/>
          <w:sz w:val="24"/>
          <w:szCs w:val="24"/>
        </w:rPr>
        <w:t>”. For the above diagram, class “C” cannot be interpreted, because the last byte is being adopted by the subnet and the node cannot be defined. The CIDR notation should be not more than “</w:t>
      </w:r>
      <w:r>
        <w:rPr>
          <w:rFonts w:ascii="Calibri" w:hAnsi="Calibri"/>
          <w:b/>
          <w:bCs/>
          <w:color w:val="FF0000"/>
          <w:sz w:val="24"/>
          <w:szCs w:val="24"/>
        </w:rPr>
        <w:t>/24</w:t>
      </w:r>
      <w:r>
        <w:rPr>
          <w:rFonts w:ascii="Calibri" w:hAnsi="Calibri"/>
          <w:b w:val="false"/>
          <w:bCs w:val="false"/>
          <w:sz w:val="24"/>
          <w:szCs w:val="24"/>
        </w:rPr>
        <w:t xml:space="preserve">”. </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Gude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306</TotalTime>
  <Application>LibreOffice/24.8.3.2$Windows_X86_64 LibreOffice_project/48a6bac9e7e268aeb4c3483fcf825c94556d9f92</Application>
  <AppVersion>15.0000</AppVersion>
  <Pages>6</Pages>
  <Words>1401</Words>
  <Characters>6273</Characters>
  <CharactersWithSpaces>7520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2024-11-23T20:33:39Z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