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3 classes (equivalent to 3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medium number of nodes (you can </w:t>
        <w:tab/>
        <w:t xml:space="preserve">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(you can </w:t>
        <w:tab/>
        <w:t>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true"/>
                        <w:bidi w:val="0"/>
                        <w:rPr/>
                      </w:pPr>
                      <w:r>
                        <w:rPr>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true"/>
                        <w:bidi w:val="0"/>
                        <w:rPr/>
                      </w:pPr>
                      <w:r>
                        <w:rPr>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true"/>
                        <w:bidi w:val="0"/>
                        <w:rPr/>
                      </w:pPr>
                      <w:r>
                        <w:rPr>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true"/>
                        <w:bidi w:val="0"/>
                        <w:rPr/>
                      </w:pPr>
                      <w:r>
                        <w:rPr>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8"/>
        <w:gridCol w:w="4678"/>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8"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78"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8"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78"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8"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78"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8"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78"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As discuss before, the 3 main classes where class A, B, C</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pPr>
                            <w:r>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true"/>
                        <w:bidi w:val="0"/>
                        <w:rPr/>
                      </w:pPr>
                      <w:r>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pPr>
                            <w:r>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true"/>
                        <w:bidi w:val="0"/>
                        <w:rPr/>
                      </w:pPr>
                      <w:r>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true"/>
                        <w:bidi w:val="0"/>
                        <w:rPr/>
                      </w:pPr>
                      <w:r>
                        <w:rPr>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pPr>
                            <w:r>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true"/>
                        <w:bidi w:val="0"/>
                        <w:rPr/>
                      </w:pPr>
                      <w:r>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last 8 bits (byte).</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pPr>
                            <w:r>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true"/>
                        <w:bidi w:val="0"/>
                        <w:rPr/>
                      </w:pPr>
                      <w:r>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pPr>
                            <w:r>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true"/>
                        <w:bidi w:val="0"/>
                        <w:rPr/>
                      </w:pPr>
                      <w:r>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true"/>
                        <w:bidi w:val="0"/>
                        <w:rPr/>
                      </w:pPr>
                      <w:r>
                        <w:rPr>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true"/>
                        <w:bidi w:val="0"/>
                        <w:rPr/>
                      </w:pPr>
                      <w:r>
                        <w:rPr>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pPr>
                            <w:r>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true"/>
                        <w:bidi w:val="0"/>
                        <w:rPr/>
                      </w:pPr>
                      <w:r>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pPr>
                            <w:r>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true"/>
                        <w:bidi w:val="0"/>
                        <w:rPr/>
                      </w:pPr>
                      <w:r>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pPr>
                            <w:r>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true"/>
                        <w:bidi w:val="0"/>
                        <w:rPr/>
                      </w:pPr>
                      <w:r>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true"/>
                              <w:bidi w:val="0"/>
                              <w:rPr/>
                            </w:pPr>
                            <w:r>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true"/>
                        <w:bidi w:val="0"/>
                        <w:rPr/>
                      </w:pPr>
                      <w:r>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
      <w:r>
        <w:br w:type="page"/>
      </w:r>
    </w:p>
    <w:p>
      <w:pPr>
        <w:pStyle w:val="Normal"/>
        <w:bidi w:val="0"/>
        <w:jc w:val="both"/>
        <w:rPr/>
      </w:pPr>
      <w:r>
        <w:rPr>
          <w:rFonts w:ascii="Calibri" w:hAnsi="Calibri"/>
          <w:b w:val="false"/>
          <w:bCs w:val="false"/>
          <w:sz w:val="24"/>
          <w:szCs w:val="24"/>
        </w:rPr>
        <w:t>After Logical And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xml:space="preserve">” address. </w:t>
      </w:r>
      <w:r>
        <w:rPr>
          <w:rFonts w:ascii="Calibri" w:hAnsi="Calibri"/>
          <w:b w:val="false"/>
          <w:bCs w:val="false"/>
          <w:sz w:val="24"/>
          <w:szCs w:val="24"/>
        </w:rPr>
        <w:t xml:space="preserve">Sub net mask could be, for example: “255.255.240.0”, whenever setting IP address with this sub net mask belongs to the same “sub network”, but the same class “A” network.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TotalTime>
  <Application>LibreOffice/24.8.2.1$Windows_X86_64 LibreOffice_project/0f794b6e29741098670a3b95d60478a65d05ef13</Application>
  <AppVersion>15.0000</AppVersion>
  <Pages>6</Pages>
  <Words>1278</Words>
  <Characters>5431</Characters>
  <CharactersWithSpaces>6586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2024-11-18T03:37:41Z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