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Noto Sans SC"/>
          <w:b/>
          <w:color w:val="000000"/>
          <w:sz w:val="44"/>
        </w:rPr>
        <w:t>三 FPGA方向培养内容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培养目标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FPGA方向面向数字系统设计、实时信号与图像处理、硬件加速和软硬件协同研究。学生应建立RTL设计思维，掌握Verilog或SystemVerilog、仿真验证、时序分析、片上存储、常用接口和流水线设计，能够将算法转化为可验证、可综合并满足时序要求的硬件系统。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学习路线</w:t>
      </w:r>
    </w:p>
    <w:p>
      <w:pPr>
        <w:spacing w:after="100"/>
        <w:jc w:val="center"/>
      </w:pPr>
      <w:r>
        <w:rPr>
          <w:rFonts w:ascii="Times New Roman" w:hAnsi="Times New Roman" w:eastAsia="Noto Sans SC"/>
          <w:b/>
          <w:color w:val="1F4E78"/>
          <w:sz w:val="20"/>
        </w:rPr>
        <w:t>数字逻辑  →  Verilog与RTL设计  →  仿真与自动验证  →  第一阶段综合项目</w:t>
        <w:br/>
        <w:t>时序与CDC  →  FIFO与片上资源  →  AXI与软硬件协同  →  信号图像处理与科研项目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建议训练平台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建议统一使用Xilinx Zynq-7020开发板。第一阶段仅使用PL部分完成纯FPGA设计，后续再进入PS、AXI、DMA和Linux环境。若实验室已有Artix-7平台，可保持相同培养内容，软硬件协同部分另配Zynq平台完成。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开发语言与工具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硬件语言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Verilog、SystemVerilog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RTL设计、接口描述和验证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开发工具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Vivado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综合、实现、时序分析、下载和ILA调试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仿真工具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Vivado Simulator、Questa或iverilog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功能仿真和波形分析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自动验证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Python、cocotb、NumPy、SciPy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激励生成、参考模型和自动比对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数据分析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Matplotlib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波形、频谱和误差可视化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工程工具</w:t>
            </w:r>
          </w:p>
        </w:tc>
        <w:tc>
          <w:tcPr>
            <w:tcW w:type="dxa" w:w="3402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Linux、Git</w:t>
            </w:r>
          </w:p>
        </w:tc>
        <w:tc>
          <w:tcPr>
            <w:tcW w:type="dxa" w:w="4025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脚本运行、版本管理和工程复现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数字逻辑与RTL设计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学习模块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主要内容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数字表示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二进制、补码、定点数、位宽、截位、舍入、溢出和饱和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组合逻辑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逻辑门、编码器、译码器、多路选择器、比较器、加法器和组合逻辑规范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时序逻辑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触发器、寄存器、计数器、移位寄存器、时钟使能和同步复位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状态机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Moore与Mealy状态机、状态划分、异常状态和超时处理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RTL规范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阻塞与非阻塞赋值、参数化、generate、模块接口和可综合编码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基础模块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分频器、PWM、UART、SPI、FIFO、双口RAM及数据帧解析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仿真与验证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每个RTL模块必须先仿真后上板。学生应掌握Testbench、时钟与复位激励、边界条件、断言、波形分析和自动判定，并使用cocotb建立Python参考模型与随机测试。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时序设计与跨时钟域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学习模块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主要内容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时序约束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时钟约束、输入输出延迟、时序例外和约束检查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静态时序分析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建立与保持时间、关键路径、WNS、TNS、时序收敛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跨时钟域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亚稳态、双触发器同步、脉冲同步、握手和异步FIFO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时钟与复位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PLL/MMCM、时钟域规划、复位同步释放和时钟使能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片上资源与系统接口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学习模块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主要内容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片上资源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LUT、寄存器、BRAM、DSP、PLL/MMCM和资源推断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流水线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延迟、吞吐率、并行度、资源复用和关键路径优化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总线接口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AXI4-Lite、AXI4-Stream、AXI DMA及握手协议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软硬件协同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Zynq PS与PL分工、寄存器配置、数据搬运和系统调试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第一阶段综合项目</w:t>
      </w:r>
    </w:p>
    <w:p>
      <w:pPr>
        <w:pStyle w:val="Heading2"/>
        <w:keepNext/>
      </w:pPr>
      <w:r>
        <w:rPr>
          <w:rFonts w:ascii="Times New Roman" w:hAnsi="Times New Roman" w:eastAsia="Noto Sans SC"/>
          <w:b/>
          <w:color w:val="000000"/>
          <w:sz w:val="23"/>
        </w:rPr>
        <w:t>项目名称</w:t>
      </w:r>
    </w:p>
    <w:p>
      <w:pPr>
        <w:spacing w:line="293" w:lineRule="auto" w:after="60"/>
      </w:pPr>
      <w:r>
        <w:rPr>
          <w:rFonts w:ascii="Times New Roman" w:hAnsi="Times New Roman" w:eastAsia="Noto Sans SC"/>
          <w:b w:val="0"/>
          <w:color w:val="000000"/>
          <w:sz w:val="20"/>
        </w:rPr>
        <w:t>基于FPGA的可配置多通道信号采集与实时处理系统。</w:t>
      </w:r>
    </w:p>
    <w:p>
      <w:pPr>
        <w:pStyle w:val="Heading2"/>
        <w:keepNext/>
      </w:pPr>
      <w:r>
        <w:rPr>
          <w:rFonts w:ascii="Times New Roman" w:hAnsi="Times New Roman" w:eastAsia="Noto Sans SC"/>
          <w:b/>
          <w:color w:val="000000"/>
          <w:sz w:val="23"/>
        </w:rPr>
        <w:t>项目目标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学生在PL端独立完成数据输入、通信协议、缓存、实时滤波、特征计算和结果回传，并使用Python建立定点参考模型和自动化测试程序。第一阶段不使用Zynq PS、AXI和厂商FIR IP核。</w:t>
      </w:r>
    </w:p>
    <w:p>
      <w:pPr>
        <w:pStyle w:val="Heading2"/>
        <w:keepNext/>
      </w:pPr>
      <w:r>
        <w:rPr>
          <w:rFonts w:ascii="Times New Roman" w:hAnsi="Times New Roman" w:eastAsia="Noto Sans SC"/>
          <w:b/>
          <w:color w:val="000000"/>
          <w:sz w:val="23"/>
        </w:rPr>
        <w:t>系统流程</w:t>
      </w:r>
    </w:p>
    <w:p>
      <w:pPr>
        <w:spacing w:after="100"/>
        <w:jc w:val="center"/>
      </w:pPr>
      <w:r>
        <w:rPr>
          <w:rFonts w:ascii="Times New Roman" w:hAnsi="Times New Roman" w:eastAsia="Noto Sans SC"/>
          <w:b/>
          <w:color w:val="1F4E78"/>
          <w:sz w:val="20"/>
        </w:rPr>
        <w:t>内部信号 UART数据 SPI ADC  →  数据选择与协议解析  →  FIFO与BRAM</w:t>
        <w:br/>
        <w:t>→  滑动平均与FIR流水线  →  特征计算  →  UART回传  →  Python验证</w:t>
      </w:r>
    </w:p>
    <w:p>
      <w:pPr>
        <w:pStyle w:val="Heading2"/>
        <w:keepNext/>
      </w:pPr>
      <w:r>
        <w:rPr>
          <w:rFonts w:ascii="Times New Roman" w:hAnsi="Times New Roman" w:eastAsia="Noto Sans SC"/>
          <w:b/>
          <w:color w:val="000000"/>
          <w:sz w:val="23"/>
        </w:rPr>
        <w:t>主要功能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6"/>
              </w:rPr>
              <w:t>项目要求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数据源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支持内部正弦波、方波、三角波和伪随机噪声，支持UART输入，并连接双通道12位SPI ADC扩展模块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通信协议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设计帧头、命令、数据源、长度、参数、数据和CRC-16，支持参数设置、启动停止及状态读取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数据缓存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独立实现接收FIFO、处理FIFO、发送FIFO和BRAM循环缓存，具有满空、溢出和错误统计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处理模式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支持原始数据直通、滑动平均滤波和不少于16阶的可配置定点FIR滤波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定点处理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明确Q格式，处理乘加、位宽增长、截位、舍入、溢出和饱和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特征计算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实时计算最大值、最小值、均值、峰峰值、均方根值、过零次数和阈值越界次数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事件响应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超过阈值时点亮LED，记录异常位置并向上位机发送状态帧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Python端</w:t>
            </w:r>
          </w:p>
        </w:tc>
        <w:tc>
          <w:tcPr>
            <w:tcW w:type="dxa" w:w="708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完成信号生成、串口协议、CRC、定点参考模型、波形频谱绘制和自动误差比较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imes New Roman" w:hAnsi="Times New Roman" w:eastAsia="Noto Sans SC"/>
          <w:b/>
          <w:color w:val="000000"/>
          <w:sz w:val="23"/>
        </w:rPr>
        <w:t>设计要求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核心FIFO、通信控制和FIR模块由学生自行设计，不直接调用同类厂商IP核。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所有模块使用统一的valid、ready或明确的数据有效控制，不依靠固定延时拼接系统。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先完成模块级验证，再进行系统级仿真和板级测试。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项目RTL划分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6"/>
              </w:rPr>
              <w:t>主要功能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clock_reset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时钟、复位同步和系统启动控制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signal_generator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内部测试波形和伪随机数据生成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uart_rx与uart_tx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串口接收、发送及波特率控制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frame_decoder与encoder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数据帧解析、封装和CRC校验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command_controller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命令执行、参数寄存和运行状态控制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sync_fifo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接收、处理和发送通道的数据缓存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bram_buffer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波形循环存储、触发位置和批量读取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spi_adc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双通道ADC时序控制和采样数据输出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moving_average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可配置窗口滑动平均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fir_filter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定点FIR乘加、流水线和饱和处理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feature_calculator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幅值、均值、均方根和事件统计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status_monitor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FIFO、CRC、通信和处理错误计数</w:t>
            </w:r>
          </w:p>
        </w:tc>
      </w:tr>
      <w:tr>
        <w:tc>
          <w:tcPr>
            <w:tcW w:type="dxa" w:w="294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top</w:t>
            </w:r>
          </w:p>
        </w:tc>
        <w:tc>
          <w:tcPr>
            <w:tcW w:type="dxa" w:w="6066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模块连接、接口分配和系统参数配置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验证内容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验证层级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验证要求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模块验证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验证UART、SPI ADC、FIFO、BRAM、CRC、FIR、特征计算、复位和异常状态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边界验证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覆盖最大最小值、FIFO近满、错误CRC、残缺数据帧、运行中复位和参数动态修改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随机验证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Python产生随机幅值、频率、噪声和长度，自动比较FPGA与定点参考模型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板级验证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使用ILA观察数据链路，使用示波器或逻辑分析仪检查串口、SPI、时钟和有效信号</w:t>
            </w:r>
          </w:p>
        </w:tc>
      </w:tr>
      <w:tr>
        <w:tc>
          <w:tcPr>
            <w:tcW w:type="dxa" w:w="1984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时序验证</w:t>
            </w:r>
          </w:p>
        </w:tc>
        <w:tc>
          <w:tcPr>
            <w:tcW w:type="dxa" w:w="7030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建立完整时钟约束，检查关键路径、跨时钟路径、WNS和未约束路径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验证原则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测试程序必须自动输出通过或失败，不能只依靠人工观察波形。Python参考模型应使用与RTL一致的定点位宽、舍入和饱和规则。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第一阶段项目验收指标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6"/>
              </w:rPr>
              <w:t>最低要求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工作时钟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完成100 MHz时钟约束，WNS不小于0，无未约束关键路径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数据位宽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输入和输出数据位宽不低于16 bit，定点格式说明完整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UART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115200 bit/s基本验收，提高项达到921600 bit/s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ADC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双通道SPI ADC能够连续采样，采样率不低于100 kS/s每通道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FIR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不少于16阶，系数可配置，处理结果与Python定点模型逐点一致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处理吞吐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FIR稳态吞吐率不低于每时钟1个采样，给出总处理延迟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BRAM缓存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能够循环保存并回传不少于4096个采样点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特征计算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最大值、最小值、均值、峰峰值和均方根值计算正确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连续通信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连续处理不少于10万组输入数据，无丢失、重复和乱序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异常处理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错误CRC、FIFO溢出和残缺数据帧能够识别并恢复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自动测试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cocotb或自检Testbench能够自动判断通过或失败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稳定运行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系统连续运行不少于2小时，无死锁和异常停止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工程分析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6"/>
              </w:rPr>
              <w:t>提交资源占用、关键路径、最高频率、延迟和吞吐率分析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提交材料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Vivado完整工程、RTL源代码、约束文件和可重新生成工程的脚本。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Python上位机、定点参考模型、cocotb或Testbench测试程序。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仿真波形、ILA记录、时序报告、资源报告和板级测试记录。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系统框图、接口说明、定点格式、测试方法、结果分析和问题清单。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算法硬件化与研究方向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学习FIR、FFT、卷积、滤波、边缘检测、图像缩放和数据格式转换的硬件实现，重点分析定点精度、流水线、存储访问、带宽、资源、延迟和吞吐率。后续可进入实时偏振图像预处理、Stokes参数计算、双目视觉前端、图像融合及视觉算法加速等课题。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后续学习与项目延伸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41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969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主要学习内容</w:t>
            </w:r>
          </w:p>
        </w:tc>
        <w:tc>
          <w:tcPr>
            <w:tcW w:type="dxa" w:w="36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建议项目</w:t>
            </w:r>
          </w:p>
        </w:tc>
      </w:tr>
      <w:tr>
        <w:tc>
          <w:tcPr>
            <w:tcW w:type="dxa" w:w="141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第二阶段</w:t>
            </w:r>
          </w:p>
        </w:tc>
        <w:tc>
          <w:tcPr>
            <w:tcW w:type="dxa" w:w="3969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STA、CDC、异步FIFO、DDR、AXI4、AXI-Stream、DMA和PS-PL通信</w:t>
            </w:r>
          </w:p>
        </w:tc>
        <w:tc>
          <w:tcPr>
            <w:tcW w:type="dxa" w:w="36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多时钟域高速采集与DDR缓存系统</w:t>
            </w:r>
          </w:p>
        </w:tc>
      </w:tr>
      <w:tr>
        <w:tc>
          <w:tcPr>
            <w:tcW w:type="dxa" w:w="141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第三阶段</w:t>
            </w:r>
          </w:p>
        </w:tc>
        <w:tc>
          <w:tcPr>
            <w:tcW w:type="dxa" w:w="3969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DSP与BRAM优化、深流水、并行处理、带宽分析和算法硬件化</w:t>
            </w:r>
          </w:p>
        </w:tc>
        <w:tc>
          <w:tcPr>
            <w:tcW w:type="dxa" w:w="36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FIR FFT或实时图像处理加速器</w:t>
            </w:r>
          </w:p>
        </w:tc>
      </w:tr>
      <w:tr>
        <w:tc>
          <w:tcPr>
            <w:tcW w:type="dxa" w:w="1417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科研阶段</w:t>
            </w:r>
          </w:p>
        </w:tc>
        <w:tc>
          <w:tcPr>
            <w:tcW w:type="dxa" w:w="3969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高速数据接口、视觉前端、软硬件协同和系统性能评价</w:t>
            </w:r>
          </w:p>
        </w:tc>
        <w:tc>
          <w:tcPr>
            <w:tcW w:type="dxa" w:w="3628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偏振图像预处理、Stokes计算、双目视觉前端或视觉算法加速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论文阅读与科研训练</w:t>
      </w:r>
    </w:p>
    <w:p>
      <w:pPr>
        <w:spacing w:line="293" w:lineRule="auto" w:after="60"/>
        <w:ind w:firstLine="400"/>
      </w:pPr>
      <w:r>
        <w:rPr>
          <w:rFonts w:ascii="Times New Roman" w:hAnsi="Times New Roman" w:eastAsia="Noto Sans SC"/>
          <w:b w:val="0"/>
          <w:color w:val="000000"/>
          <w:sz w:val="20"/>
        </w:rPr>
        <w:t>论文阅读重点分析算法的数据流、运算量、存储量、并行方式、定点精度、硬件资源和带宽约束。复现应先建立软件参考模型，再完成RTL实现、自动验证、时序与资源分析，并比较软件、RTL仿真和板级结果。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完成标准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能够将算法划分为接口明确的RTL模块，并独立完成编码、仿真、综合和板级调试。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能够解释时序报告、跨时钟域结构、定点误差、资源占用、延迟和吞吐率。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能够使用Python和cocotb建立参考模型与自动测试，证明硬件结果正确。</w:t>
      </w:r>
    </w:p>
    <w:p>
      <w:pPr>
        <w:pStyle w:val="ListBullet"/>
        <w:spacing w:line="278" w:lineRule="auto" w:after="40"/>
        <w:ind w:left="397" w:hanging="198"/>
      </w:pPr>
      <w:r>
        <w:rPr>
          <w:rFonts w:ascii="Times New Roman" w:hAnsi="Times New Roman" w:eastAsia="Noto Sans SC"/>
          <w:b w:val="0"/>
          <w:color w:val="000000"/>
          <w:sz w:val="19"/>
        </w:rPr>
        <w:t>能够完成一个与后续课题相连的FPGA系统，形成可复现的工程和技术报告。</w:t>
      </w:r>
    </w:p>
    <w:p>
      <w:pPr>
        <w:pStyle w:val="Heading1"/>
        <w:keepNext/>
      </w:pPr>
      <w:r>
        <w:rPr>
          <w:rFonts w:ascii="Times New Roman" w:hAnsi="Times New Roman" w:eastAsia="Noto Sans SC"/>
          <w:b/>
          <w:color w:val="000000"/>
          <w:sz w:val="28"/>
        </w:rPr>
        <w:t>推荐书目与资料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学习内容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/>
                <w:color w:val="FFFFFF"/>
                <w:sz w:val="17"/>
              </w:rPr>
              <w:t>推荐资料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数字逻辑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David Harris、Sarah Harris：《数字设计和计算机体系结构》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FPGA实践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Pong P. Chu：《FPGA Prototyping by Verilog Examples》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硬件语言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IEEE Verilog和SystemVerilog语言规范及可靠编码资料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工程设计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AMD Xilinx器件数据手册、Vivado用户指南和应用说明</w:t>
            </w:r>
          </w:p>
        </w:tc>
      </w:tr>
      <w:tr>
        <w:tc>
          <w:tcPr>
            <w:tcW w:type="dxa" w:w="2041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时序与CDC</w:t>
            </w:r>
          </w:p>
        </w:tc>
        <w:tc>
          <w:tcPr>
            <w:tcW w:type="dxa" w:w="6973"/>
            <w:vAlign w:val="center"/>
            <w:tcMar>
              <w:top w:w="55" w:type="dxa"/>
              <w:start w:w="85" w:type="dxa"/>
              <w:bottom w:w="55" w:type="dxa"/>
              <w:end w:w="8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Times New Roman" w:hAnsi="Times New Roman" w:eastAsia="Noto Sans SC"/>
                <w:b w:val="0"/>
                <w:color w:val="000000"/>
                <w:sz w:val="17"/>
              </w:rPr>
              <w:t>静态时序分析、异步FIFO和跨时钟域设计的经典论文与工程资料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SC"/>
        <w:b w:val="0"/>
        <w:color w:val="000000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Noto Sans SC"/>
        <w:b w:val="0"/>
        <w:color w:val="000000"/>
        <w:sz w:val="17"/>
      </w:rPr>
      <w:t>FPGA方向培养内容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/>
    </w:pPr>
    <w:rPr>
      <w:rFonts w:ascii="Times New Roman" w:hAnsi="Times New Roman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Noto Sans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FPGA方向培养内容</dc:title>
  <dc:subject>电子信息实验室FPGA方向研究生培养内容</dc:subject>
  <dc:creator>电子信息实验室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