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Sentiment-Based Trading Guide</w:t>
      </w:r>
    </w:p>
    <w:p>
      <w:pPr>
        <w:jc w:val="center"/>
      </w:pPr>
      <w:r>
        <w:rPr>
          <w:i/>
          <w:sz w:val="22"/>
        </w:rPr>
        <w:t>News • Market Sentiment • Options • Price Action • Entry Timing</w:t>
      </w:r>
    </w:p>
    <w:p>
      <w:r>
        <w:t>Purpose: A practical framework for trading US and Canadian equities using market sentiment as the starting signal, with price, volume, technical confirmation, and risk management used to validate entries. This guide consolidates the discussion and is intended as an educational framework—not personalized financial advice.</w:t>
      </w:r>
    </w:p>
    <w:p>
      <w:pPr>
        <w:pStyle w:val="Heading1"/>
      </w:pPr>
      <w:r>
        <w:t>1. Core Principle</w:t>
      </w:r>
    </w:p>
    <w:p>
      <w:r>
        <w:t>Do not trade simply because a headline is bullish or bearish. The objective is to identify changes in market expectations before or as price fully reflects them.</w:t>
      </w:r>
    </w:p>
    <w:p>
      <w:r>
        <w:t>A useful mental model:</w:t>
      </w:r>
    </w:p>
    <w:p>
      <w:r>
        <w:t>Information → Expectations → Market reaction → Price/volume confirmation → Entry → Risk management</w:t>
      </w:r>
    </w:p>
    <w:p>
      <w:pPr>
        <w:pStyle w:val="Heading1"/>
      </w:pPr>
      <w:r>
        <w:t>2. Information Sources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Source</w:t>
            </w:r>
          </w:p>
        </w:tc>
        <w:tc>
          <w:tcPr>
            <w:tcW w:type="dxa" w:w="2520"/>
          </w:tcPr>
          <w:p>
            <w:r>
              <w:t>What to monitor</w:t>
            </w:r>
          </w:p>
        </w:tc>
        <w:tc>
          <w:tcPr>
            <w:tcW w:type="dxa" w:w="2520"/>
          </w:tcPr>
          <w:p>
            <w:r>
              <w:t>Primary use</w:t>
            </w:r>
          </w:p>
        </w:tc>
        <w:tc>
          <w:tcPr>
            <w:tcW w:type="dxa" w:w="2520"/>
          </w:tcPr>
          <w:p>
            <w:r>
              <w:t>Priority</w:t>
            </w:r>
          </w:p>
        </w:tc>
      </w:tr>
      <w:tr>
        <w:tc>
          <w:tcPr>
            <w:tcW w:type="dxa" w:w="2520"/>
          </w:tcPr>
          <w:p>
            <w:r>
              <w:t>Reuters</w:t>
            </w:r>
          </w:p>
        </w:tc>
        <w:tc>
          <w:tcPr>
            <w:tcW w:type="dxa" w:w="2520"/>
          </w:tcPr>
          <w:p>
            <w:r>
              <w:t>Breaking news, macro, companies</w:t>
            </w:r>
          </w:p>
        </w:tc>
        <w:tc>
          <w:tcPr>
            <w:tcW w:type="dxa" w:w="2520"/>
          </w:tcPr>
          <w:p>
            <w:r>
              <w:t>Fast, reliable event detection</w:t>
            </w:r>
          </w:p>
        </w:tc>
        <w:tc>
          <w:tcPr>
            <w:tcW w:type="dxa" w:w="2520"/>
          </w:tcPr>
          <w:p>
            <w:r>
              <w:t>★★★★★</w:t>
            </w:r>
          </w:p>
        </w:tc>
      </w:tr>
      <w:tr>
        <w:tc>
          <w:tcPr>
            <w:tcW w:type="dxa" w:w="2520"/>
          </w:tcPr>
          <w:p>
            <w:r>
              <w:t>Bloomberg</w:t>
            </w:r>
          </w:p>
        </w:tc>
        <w:tc>
          <w:tcPr>
            <w:tcW w:type="dxa" w:w="2520"/>
          </w:tcPr>
          <w:p>
            <w:r>
              <w:t>Institutional and macro news</w:t>
            </w:r>
          </w:p>
        </w:tc>
        <w:tc>
          <w:tcPr>
            <w:tcW w:type="dxa" w:w="2520"/>
          </w:tcPr>
          <w:p>
            <w:r>
              <w:t>Professional market context</w:t>
            </w:r>
          </w:p>
        </w:tc>
        <w:tc>
          <w:tcPr>
            <w:tcW w:type="dxa" w:w="2520"/>
          </w:tcPr>
          <w:p>
            <w:r>
              <w:t>★★★★★</w:t>
            </w:r>
          </w:p>
        </w:tc>
      </w:tr>
      <w:tr>
        <w:tc>
          <w:tcPr>
            <w:tcW w:type="dxa" w:w="2520"/>
          </w:tcPr>
          <w:p>
            <w:r>
              <w:t>Finimize</w:t>
            </w:r>
          </w:p>
        </w:tc>
        <w:tc>
          <w:tcPr>
            <w:tcW w:type="dxa" w:w="2520"/>
          </w:tcPr>
          <w:p>
            <w:r>
              <w:t>Daily market narrative</w:t>
            </w:r>
          </w:p>
        </w:tc>
        <w:tc>
          <w:tcPr>
            <w:tcW w:type="dxa" w:w="2520"/>
          </w:tcPr>
          <w:p>
            <w:r>
              <w:t>Fast morning briefing</w:t>
            </w:r>
          </w:p>
        </w:tc>
        <w:tc>
          <w:tcPr>
            <w:tcW w:type="dxa" w:w="2520"/>
          </w:tcPr>
          <w:p>
            <w:r>
              <w:t>★★★★☆</w:t>
            </w:r>
          </w:p>
        </w:tc>
      </w:tr>
      <w:tr>
        <w:tc>
          <w:tcPr>
            <w:tcW w:type="dxa" w:w="2520"/>
          </w:tcPr>
          <w:p>
            <w:r>
              <w:t>MarketBeat</w:t>
            </w:r>
          </w:p>
        </w:tc>
        <w:tc>
          <w:tcPr>
            <w:tcW w:type="dxa" w:w="2520"/>
          </w:tcPr>
          <w:p>
            <w:r>
              <w:t>Analyst ratings, targets, earnings</w:t>
            </w:r>
          </w:p>
        </w:tc>
        <w:tc>
          <w:tcPr>
            <w:tcW w:type="dxa" w:w="2520"/>
          </w:tcPr>
          <w:p>
            <w:r>
              <w:t>Track expectation changes</w:t>
            </w:r>
          </w:p>
        </w:tc>
        <w:tc>
          <w:tcPr>
            <w:tcW w:type="dxa" w:w="2520"/>
          </w:tcPr>
          <w:p>
            <w:r>
              <w:t>★★★★☆</w:t>
            </w:r>
          </w:p>
        </w:tc>
      </w:tr>
      <w:tr>
        <w:tc>
          <w:tcPr>
            <w:tcW w:type="dxa" w:w="2520"/>
          </w:tcPr>
          <w:p>
            <w:r>
              <w:t>Unusual Whales</w:t>
            </w:r>
          </w:p>
        </w:tc>
        <w:tc>
          <w:tcPr>
            <w:tcW w:type="dxa" w:w="2520"/>
          </w:tcPr>
          <w:p>
            <w:r>
              <w:t>Options flow and unusual activity</w:t>
            </w:r>
          </w:p>
        </w:tc>
        <w:tc>
          <w:tcPr>
            <w:tcW w:type="dxa" w:w="2520"/>
          </w:tcPr>
          <w:p>
            <w:r>
              <w:t>Positioning/flow</w:t>
            </w:r>
          </w:p>
        </w:tc>
        <w:tc>
          <w:tcPr>
            <w:tcW w:type="dxa" w:w="2520"/>
          </w:tcPr>
          <w:p>
            <w:r>
              <w:t>★★★★★</w:t>
            </w:r>
          </w:p>
        </w:tc>
      </w:tr>
      <w:tr>
        <w:tc>
          <w:tcPr>
            <w:tcW w:type="dxa" w:w="2520"/>
          </w:tcPr>
          <w:p>
            <w:r>
              <w:t>SEC EDGAR</w:t>
            </w:r>
          </w:p>
        </w:tc>
        <w:tc>
          <w:tcPr>
            <w:tcW w:type="dxa" w:w="2520"/>
          </w:tcPr>
          <w:p>
            <w:r>
              <w:t>Insider/company filings</w:t>
            </w:r>
          </w:p>
        </w:tc>
        <w:tc>
          <w:tcPr>
            <w:tcW w:type="dxa" w:w="2520"/>
          </w:tcPr>
          <w:p>
            <w:r>
              <w:t>Primary-source company information</w:t>
            </w:r>
          </w:p>
        </w:tc>
        <w:tc>
          <w:tcPr>
            <w:tcW w:type="dxa" w:w="2520"/>
          </w:tcPr>
          <w:p>
            <w:r>
              <w:t>★★★★★</w:t>
            </w:r>
          </w:p>
        </w:tc>
      </w:tr>
      <w:tr>
        <w:tc>
          <w:tcPr>
            <w:tcW w:type="dxa" w:w="2520"/>
          </w:tcPr>
          <w:p>
            <w:r>
              <w:t>CBOE</w:t>
            </w:r>
          </w:p>
        </w:tc>
        <w:tc>
          <w:tcPr>
            <w:tcW w:type="dxa" w:w="2520"/>
          </w:tcPr>
          <w:p>
            <w:r>
              <w:t>VIX and options data</w:t>
            </w:r>
          </w:p>
        </w:tc>
        <w:tc>
          <w:tcPr>
            <w:tcW w:type="dxa" w:w="2520"/>
          </w:tcPr>
          <w:p>
            <w:r>
              <w:t>Market-wide risk sentiment</w:t>
            </w:r>
          </w:p>
        </w:tc>
        <w:tc>
          <w:tcPr>
            <w:tcW w:type="dxa" w:w="2520"/>
          </w:tcPr>
          <w:p>
            <w:r>
              <w:t>★★★★★</w:t>
            </w:r>
          </w:p>
        </w:tc>
      </w:tr>
      <w:tr>
        <w:tc>
          <w:tcPr>
            <w:tcW w:type="dxa" w:w="2520"/>
          </w:tcPr>
          <w:p>
            <w:r>
              <w:t>TradingView</w:t>
            </w:r>
          </w:p>
        </w:tc>
        <w:tc>
          <w:tcPr>
            <w:tcW w:type="dxa" w:w="2520"/>
          </w:tcPr>
          <w:p>
            <w:r>
              <w:t>Price, volume, VWAP, levels</w:t>
            </w:r>
          </w:p>
        </w:tc>
        <w:tc>
          <w:tcPr>
            <w:tcW w:type="dxa" w:w="2520"/>
          </w:tcPr>
          <w:p>
            <w:r>
              <w:t>Technical confirmation</w:t>
            </w:r>
          </w:p>
        </w:tc>
        <w:tc>
          <w:tcPr>
            <w:tcW w:type="dxa" w:w="2520"/>
          </w:tcPr>
          <w:p>
            <w:r>
              <w:t>★★★★★</w:t>
            </w:r>
          </w:p>
        </w:tc>
      </w:tr>
      <w:tr>
        <w:tc>
          <w:tcPr>
            <w:tcW w:type="dxa" w:w="2520"/>
          </w:tcPr>
          <w:p>
            <w:r>
              <w:t>Stocktwits</w:t>
            </w:r>
          </w:p>
        </w:tc>
        <w:tc>
          <w:tcPr>
            <w:tcW w:type="dxa" w:w="2520"/>
          </w:tcPr>
          <w:p>
            <w:r>
              <w:t>Retail sentiment</w:t>
            </w:r>
          </w:p>
        </w:tc>
        <w:tc>
          <w:tcPr>
            <w:tcW w:type="dxa" w:w="2520"/>
          </w:tcPr>
          <w:p>
            <w:r>
              <w:t>Crowd/attention indicator</w:t>
            </w:r>
          </w:p>
        </w:tc>
        <w:tc>
          <w:tcPr>
            <w:tcW w:type="dxa" w:w="2520"/>
          </w:tcPr>
          <w:p>
            <w:r>
              <w:t>★★★☆☆</w:t>
            </w:r>
          </w:p>
        </w:tc>
      </w:tr>
      <w:tr>
        <w:tc>
          <w:tcPr>
            <w:tcW w:type="dxa" w:w="2520"/>
          </w:tcPr>
          <w:p>
            <w:r>
              <w:t>Reddit</w:t>
            </w:r>
          </w:p>
        </w:tc>
        <w:tc>
          <w:tcPr>
            <w:tcW w:type="dxa" w:w="2520"/>
          </w:tcPr>
          <w:p>
            <w:r>
              <w:t>Retail narratives</w:t>
            </w:r>
          </w:p>
        </w:tc>
        <w:tc>
          <w:tcPr>
            <w:tcW w:type="dxa" w:w="2520"/>
          </w:tcPr>
          <w:p>
            <w:r>
              <w:t>Narrative discovery/contrarian signal</w:t>
            </w:r>
          </w:p>
        </w:tc>
        <w:tc>
          <w:tcPr>
            <w:tcW w:type="dxa" w:w="2520"/>
          </w:tcPr>
          <w:p>
            <w:r>
              <w:t>★★★☆☆</w:t>
            </w:r>
          </w:p>
        </w:tc>
      </w:tr>
    </w:tbl>
    <w:p>
      <w:pPr>
        <w:pStyle w:val="Heading1"/>
      </w:pPr>
      <w:r>
        <w:t>3. What to Track</w:t>
      </w:r>
    </w:p>
    <w:p>
      <w:pPr>
        <w:pStyle w:val="ListBullet"/>
      </w:pPr>
      <w:r>
        <w:t>Macro: S&amp;P 500/Nasdaq, VIX, US 10-year yield, USD, oil, gold, Fed expectations, CPI/PCE, employment data.</w:t>
      </w:r>
    </w:p>
    <w:p>
      <w:pPr>
        <w:pStyle w:val="ListBullet"/>
      </w:pPr>
      <w:r>
        <w:t>Sector: Determine whether the whole sector supports or contradicts the individual stock.</w:t>
      </w:r>
    </w:p>
    <w:p>
      <w:pPr>
        <w:pStyle w:val="ListBullet"/>
      </w:pPr>
      <w:r>
        <w:t>Company: earnings, guidance, analyst revisions, insider transactions, institutional activity, options, and news.</w:t>
      </w:r>
    </w:p>
    <w:p>
      <w:pPr>
        <w:pStyle w:val="ListBullet"/>
      </w:pPr>
      <w:r>
        <w:t>Crowd: Reddit, Stocktwits, X/social discussion, and search interest. Treat crowd sentiment as a secondary signal.</w:t>
      </w:r>
    </w:p>
    <w:p>
      <w:pPr>
        <w:pStyle w:val="Heading1"/>
      </w:pPr>
      <w:r>
        <w:t>4. Sentiment Is About Expectations vs. Reality</w:t>
      </w:r>
    </w:p>
    <w:p>
      <w:r>
        <w:t>A company can report excellent results and still fall if the market expected even better results. The important question is not simply 'Is the news good?' but 'Is the news better or worse than what was already priced in?'</w:t>
      </w:r>
    </w:p>
    <w:p>
      <w:r>
        <w:t>Example: EPS expectation = $1.00; actual EPS = $1.20. If the stock falls, investigate guidance, valuation, margins, or other expectations that disappointed.</w:t>
      </w:r>
    </w:p>
    <w:p>
      <w:pPr>
        <w:pStyle w:val="Heading1"/>
      </w:pPr>
      <w:r>
        <w:t>5. Options Sentiment</w:t>
      </w:r>
    </w:p>
    <w:p>
      <w:pPr>
        <w:pStyle w:val="ListBullet"/>
      </w:pPr>
      <w:r>
        <w:t>Monitor unusual call/put activity, implied volatility, open interest, large blocks, and options skew.</w:t>
      </w:r>
    </w:p>
    <w:p>
      <w:pPr>
        <w:pStyle w:val="ListBullet"/>
      </w:pPr>
      <w:r>
        <w:t>Never assume large call buying is automatically bullish; trades can be hedges, spreads, or part of larger strategies.</w:t>
      </w:r>
    </w:p>
    <w:p>
      <w:pPr>
        <w:pStyle w:val="ListBullet"/>
      </w:pPr>
      <w:r>
        <w:t>Use options flow as confirmation rather than a standalone buy signal.</w:t>
      </w:r>
    </w:p>
    <w:p>
      <w:pPr>
        <w:pStyle w:val="Heading1"/>
      </w:pPr>
      <w:r>
        <w:t>6. Insider and Analyst Signals</w:t>
      </w:r>
    </w:p>
    <w:p>
      <w:pPr>
        <w:pStyle w:val="ListBullet"/>
      </w:pPr>
      <w:r>
        <w:t>SEC EDGAR is a primary source for company filings and insider transactions.</w:t>
      </w:r>
    </w:p>
    <w:p>
      <w:pPr>
        <w:pStyle w:val="ListBullet"/>
      </w:pPr>
      <w:r>
        <w:t>One insider sale does not automatically mean bearish sentiment.</w:t>
      </w:r>
    </w:p>
    <w:p>
      <w:pPr>
        <w:pStyle w:val="ListBullet"/>
      </w:pPr>
      <w:r>
        <w:t>Multiple insiders buying after a significant decline can be more informative.</w:t>
      </w:r>
    </w:p>
    <w:p>
      <w:pPr>
        <w:pStyle w:val="ListBullet"/>
      </w:pPr>
      <w:r>
        <w:t>Track analyst upgrades, downgrades, target changes, and—most importantly—changes in consensus expectations.</w:t>
      </w:r>
    </w:p>
    <w:p>
      <w:pPr>
        <w:pStyle w:val="Heading1"/>
      </w:pPr>
      <w:r>
        <w:t>7. Best Entry Timing During the US Trading Day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Time (ET)</w:t>
            </w:r>
          </w:p>
        </w:tc>
        <w:tc>
          <w:tcPr>
            <w:tcW w:type="dxa" w:w="2520"/>
          </w:tcPr>
          <w:p>
            <w:r>
              <w:t>Typical behavior</w:t>
            </w:r>
          </w:p>
        </w:tc>
        <w:tc>
          <w:tcPr>
            <w:tcW w:type="dxa" w:w="2520"/>
          </w:tcPr>
          <w:p>
            <w:r>
              <w:t>Guideline</w:t>
            </w:r>
          </w:p>
        </w:tc>
        <w:tc>
          <w:tcPr>
            <w:tcW w:type="dxa" w:w="2520"/>
          </w:tcPr>
          <w:p>
            <w:r>
              <w:t>Rating</w:t>
            </w:r>
          </w:p>
        </w:tc>
      </w:tr>
      <w:tr>
        <w:tc>
          <w:tcPr>
            <w:tcW w:type="dxa" w:w="2520"/>
          </w:tcPr>
          <w:p>
            <w:r>
              <w:t>9:30–9:45</w:t>
            </w:r>
          </w:p>
        </w:tc>
        <w:tc>
          <w:tcPr>
            <w:tcW w:type="dxa" w:w="2520"/>
          </w:tcPr>
          <w:p>
            <w:r>
              <w:t>Very high volatility; overnight orders and gaps</w:t>
            </w:r>
          </w:p>
        </w:tc>
        <w:tc>
          <w:tcPr>
            <w:tcW w:type="dxa" w:w="2520"/>
          </w:tcPr>
          <w:p>
            <w:r>
              <w:t>Usually observe; avoid impulsive entries</w:t>
            </w:r>
          </w:p>
        </w:tc>
        <w:tc>
          <w:tcPr>
            <w:tcW w:type="dxa" w:w="2520"/>
          </w:tcPr>
          <w:p>
            <w:r>
              <w:t>⚠️</w:t>
            </w:r>
          </w:p>
        </w:tc>
      </w:tr>
      <w:tr>
        <w:tc>
          <w:tcPr>
            <w:tcW w:type="dxa" w:w="2520"/>
          </w:tcPr>
          <w:p>
            <w:r>
              <w:t>9:45–10:30</w:t>
            </w:r>
          </w:p>
        </w:tc>
        <w:tc>
          <w:tcPr>
            <w:tcW w:type="dxa" w:w="2520"/>
          </w:tcPr>
          <w:p>
            <w:r>
              <w:t>Initial direction becomes clearer</w:t>
            </w:r>
          </w:p>
        </w:tc>
        <w:tc>
          <w:tcPr>
            <w:tcW w:type="dxa" w:w="2520"/>
          </w:tcPr>
          <w:p>
            <w:r>
              <w:t>Preferred confirmation window</w:t>
            </w:r>
          </w:p>
        </w:tc>
        <w:tc>
          <w:tcPr>
            <w:tcW w:type="dxa" w:w="2520"/>
          </w:tcPr>
          <w:p>
            <w:r>
              <w:t>★★★★★</w:t>
            </w:r>
          </w:p>
        </w:tc>
      </w:tr>
      <w:tr>
        <w:tc>
          <w:tcPr>
            <w:tcW w:type="dxa" w:w="2520"/>
          </w:tcPr>
          <w:p>
            <w:r>
              <w:t>10:30–11:30</w:t>
            </w:r>
          </w:p>
        </w:tc>
        <w:tc>
          <w:tcPr>
            <w:tcW w:type="dxa" w:w="2520"/>
          </w:tcPr>
          <w:p>
            <w:r>
              <w:t>Trend may continue; volatility often falls</w:t>
            </w:r>
          </w:p>
        </w:tc>
        <w:tc>
          <w:tcPr>
            <w:tcW w:type="dxa" w:w="2520"/>
          </w:tcPr>
          <w:p>
            <w:r>
              <w:t>Good if setup remains valid</w:t>
            </w:r>
          </w:p>
        </w:tc>
        <w:tc>
          <w:tcPr>
            <w:tcW w:type="dxa" w:w="2520"/>
          </w:tcPr>
          <w:p>
            <w:r>
              <w:t>★★★★☆</w:t>
            </w:r>
          </w:p>
        </w:tc>
      </w:tr>
      <w:tr>
        <w:tc>
          <w:tcPr>
            <w:tcW w:type="dxa" w:w="2520"/>
          </w:tcPr>
          <w:p>
            <w:r>
              <w:t>11:30–1:30</w:t>
            </w:r>
          </w:p>
        </w:tc>
        <w:tc>
          <w:tcPr>
            <w:tcW w:type="dxa" w:w="2520"/>
          </w:tcPr>
          <w:p>
            <w:r>
              <w:t>Often lower volume</w:t>
            </w:r>
          </w:p>
        </w:tc>
        <w:tc>
          <w:tcPr>
            <w:tcW w:type="dxa" w:w="2520"/>
          </w:tcPr>
          <w:p>
            <w:r>
              <w:t>Usually avoid new trades unless catalyst is strong</w:t>
            </w:r>
          </w:p>
        </w:tc>
        <w:tc>
          <w:tcPr>
            <w:tcW w:type="dxa" w:w="2520"/>
          </w:tcPr>
          <w:p>
            <w:r>
              <w:t>★★☆☆☆</w:t>
            </w:r>
          </w:p>
        </w:tc>
      </w:tr>
      <w:tr>
        <w:tc>
          <w:tcPr>
            <w:tcW w:type="dxa" w:w="2520"/>
          </w:tcPr>
          <w:p>
            <w:r>
              <w:t>1:30–3:00</w:t>
            </w:r>
          </w:p>
        </w:tc>
        <w:tc>
          <w:tcPr>
            <w:tcW w:type="dxa" w:w="2520"/>
          </w:tcPr>
          <w:p>
            <w:r>
              <w:t>Activity can increase</w:t>
            </w:r>
          </w:p>
        </w:tc>
        <w:tc>
          <w:tcPr>
            <w:tcW w:type="dxa" w:w="2520"/>
          </w:tcPr>
          <w:p>
            <w:r>
              <w:t>Good secondary window</w:t>
            </w:r>
          </w:p>
        </w:tc>
        <w:tc>
          <w:tcPr>
            <w:tcW w:type="dxa" w:w="2520"/>
          </w:tcPr>
          <w:p>
            <w:r>
              <w:t>★★★★☆</w:t>
            </w:r>
          </w:p>
        </w:tc>
      </w:tr>
      <w:tr>
        <w:tc>
          <w:tcPr>
            <w:tcW w:type="dxa" w:w="2520"/>
          </w:tcPr>
          <w:p>
            <w:r>
              <w:t>3:00–4:00</w:t>
            </w:r>
          </w:p>
        </w:tc>
        <w:tc>
          <w:tcPr>
            <w:tcW w:type="dxa" w:w="2520"/>
          </w:tcPr>
          <w:p>
            <w:r>
              <w:t>Closing positioning and volume</w:t>
            </w:r>
          </w:p>
        </w:tc>
        <w:tc>
          <w:tcPr>
            <w:tcW w:type="dxa" w:w="2520"/>
          </w:tcPr>
          <w:p>
            <w:r>
              <w:t>Can work, but manage volatility</w:t>
            </w:r>
          </w:p>
        </w:tc>
        <w:tc>
          <w:tcPr>
            <w:tcW w:type="dxa" w:w="2520"/>
          </w:tcPr>
          <w:p>
            <w:r>
              <w:t>★★★★☆</w:t>
            </w:r>
          </w:p>
        </w:tc>
      </w:tr>
    </w:tbl>
    <w:p>
      <w:r>
        <w:t>For Calgary, the US market currently opens at 7:30 AM Mountain Time and closes at 2:00 PM Mountain Time during the relevant daylight-saving period. Always verify the current offset when daylight-saving changes.</w:t>
      </w:r>
    </w:p>
    <w:p>
      <w:pPr>
        <w:pStyle w:val="Heading1"/>
      </w:pPr>
      <w:r>
        <w:t>8. Opening-Range + Sentiment Confirmation Setup</w:t>
      </w:r>
    </w:p>
    <w:p>
      <w:pPr>
        <w:pStyle w:val="ListBullet"/>
      </w:pPr>
      <w:r>
        <w:t>Before the open: identify stocks with meaningful catalysts and strong sentiment.</w:t>
      </w:r>
    </w:p>
    <w:p>
      <w:pPr>
        <w:pStyle w:val="ListBullet"/>
      </w:pPr>
      <w:r>
        <w:t>At the open: do not automatically buy the gap. Let the first 15 minutes establish an opening range.</w:t>
      </w:r>
    </w:p>
    <w:p>
      <w:pPr>
        <w:pStyle w:val="ListBullet"/>
      </w:pPr>
      <w:r>
        <w:t>After the first 15 minutes: look for price holding or reclaiming VWAP, strong volume, sector confirmation, and a break of the opening range.</w:t>
      </w:r>
    </w:p>
    <w:p>
      <w:pPr>
        <w:pStyle w:val="ListBullet"/>
      </w:pPr>
      <w:r>
        <w:t>A stronger setup is: new positive catalyst + bullish sentiment + sector confirmation + price/volume confirmation.</w:t>
      </w:r>
    </w:p>
    <w:p>
      <w:pPr>
        <w:pStyle w:val="ListBullet"/>
      </w:pPr>
      <w:r>
        <w:t>If good news is followed by persistent selling, respect the market reaction. The market may be saying the news was already priced in or was not good enough.</w:t>
      </w:r>
    </w:p>
    <w:p>
      <w:pPr>
        <w:pStyle w:val="Heading1"/>
      </w:pPr>
      <w:r>
        <w:t>9. Friday vs. Other Days</w:t>
      </w:r>
    </w:p>
    <w:p>
      <w:r>
        <w:t>There is no reliable rule that Friday is always a bad day to enter or Monday is always a good day. Trade the catalyst and setup, not the weekday.</w:t>
      </w:r>
    </w:p>
    <w:p>
      <w:pPr>
        <w:pStyle w:val="ListBullet"/>
      </w:pPr>
      <w:r>
        <w:t>Friday morning can provide valid setups.</w:t>
      </w:r>
    </w:p>
    <w:p>
      <w:pPr>
        <w:pStyle w:val="ListBullet"/>
      </w:pPr>
      <w:r>
        <w:t>Late-Friday new swing positions carry additional weekend gap/event risk.</w:t>
      </w:r>
    </w:p>
    <w:p>
      <w:pPr>
        <w:pStyle w:val="ListBullet"/>
      </w:pPr>
      <w:r>
        <w:t>Be more cautious when the thesis depends on a weekend-sensitive event such as geopolitical developments, major announcements, or binary decisions.</w:t>
      </w:r>
    </w:p>
    <w:p>
      <w:pPr>
        <w:pStyle w:val="ListBullet"/>
      </w:pPr>
      <w:r>
        <w:t>A strong Tuesday catalyst with confirmation is preferable to a weak Monday setup simply because Monday is the first trading day.</w:t>
      </w:r>
    </w:p>
    <w:p>
      <w:pPr>
        <w:pStyle w:val="Heading1"/>
      </w:pPr>
      <w:r>
        <w:t>10. Suggested Daily Routine</w:t>
      </w:r>
    </w:p>
    <w:tbl>
      <w:tblPr>
        <w:tblStyle w:val="TableGrid"/>
        <w:tblW w:type="auto" w:w="0"/>
        <w:tblLook w:firstColumn="1" w:firstRow="1" w:lastColumn="0" w:lastRow="0" w:noHBand="0" w:noVBand="1" w:val="04A0"/>
      </w:tblPr>
      <w:tblGrid>
        <w:gridCol w:w="3360"/>
        <w:gridCol w:w="3360"/>
        <w:gridCol w:w="3360"/>
      </w:tblGrid>
      <w:tr>
        <w:tc>
          <w:tcPr>
            <w:tcW w:type="dxa" w:w="3360"/>
          </w:tcPr>
          <w:p>
            <w:r>
              <w:t>Calgary time*</w:t>
            </w:r>
          </w:p>
        </w:tc>
        <w:tc>
          <w:tcPr>
            <w:tcW w:type="dxa" w:w="3360"/>
          </w:tcPr>
          <w:p>
            <w:r>
              <w:t>Task</w:t>
            </w:r>
          </w:p>
        </w:tc>
        <w:tc>
          <w:tcPr>
            <w:tcW w:type="dxa" w:w="3360"/>
          </w:tcPr>
          <w:p>
            <w:r>
              <w:t>Questions</w:t>
            </w:r>
          </w:p>
        </w:tc>
      </w:tr>
      <w:tr>
        <w:tc>
          <w:tcPr>
            <w:tcW w:type="dxa" w:w="3360"/>
          </w:tcPr>
          <w:p>
            <w:r>
              <w:t>~7:00–7:25 AM</w:t>
            </w:r>
          </w:p>
        </w:tc>
        <w:tc>
          <w:tcPr>
            <w:tcW w:type="dxa" w:w="3360"/>
          </w:tcPr>
          <w:p>
            <w:r>
              <w:t>Pre-market scan</w:t>
            </w:r>
          </w:p>
        </w:tc>
        <w:tc>
          <w:tcPr>
            <w:tcW w:type="dxa" w:w="3360"/>
          </w:tcPr>
          <w:p>
            <w:r>
              <w:t>What changed overnight? What are futures, VIX, yields, and major news doing?</w:t>
            </w:r>
          </w:p>
        </w:tc>
      </w:tr>
      <w:tr>
        <w:tc>
          <w:tcPr>
            <w:tcW w:type="dxa" w:w="3360"/>
          </w:tcPr>
          <w:p>
            <w:r>
              <w:t>~7:30 AM</w:t>
            </w:r>
          </w:p>
        </w:tc>
        <w:tc>
          <w:tcPr>
            <w:tcW w:type="dxa" w:w="3360"/>
          </w:tcPr>
          <w:p>
            <w:r>
              <w:t>Market opens</w:t>
            </w:r>
          </w:p>
        </w:tc>
        <w:tc>
          <w:tcPr>
            <w:tcW w:type="dxa" w:w="3360"/>
          </w:tcPr>
          <w:p>
            <w:r>
              <w:t>Which stocks gap and how do they react?</w:t>
            </w:r>
          </w:p>
        </w:tc>
      </w:tr>
      <w:tr>
        <w:tc>
          <w:tcPr>
            <w:tcW w:type="dxa" w:w="3360"/>
          </w:tcPr>
          <w:p>
            <w:r>
              <w:t>~7:30–7:45 AM</w:t>
            </w:r>
          </w:p>
        </w:tc>
        <w:tc>
          <w:tcPr>
            <w:tcW w:type="dxa" w:w="3360"/>
          </w:tcPr>
          <w:p>
            <w:r>
              <w:t>Observe</w:t>
            </w:r>
          </w:p>
        </w:tc>
        <w:tc>
          <w:tcPr>
            <w:tcW w:type="dxa" w:w="3360"/>
          </w:tcPr>
          <w:p>
            <w:r>
              <w:t>Is the initial move holding or reversing?</w:t>
            </w:r>
          </w:p>
        </w:tc>
      </w:tr>
      <w:tr>
        <w:tc>
          <w:tcPr>
            <w:tcW w:type="dxa" w:w="3360"/>
          </w:tcPr>
          <w:p>
            <w:r>
              <w:t>~7:45–8:30 AM</w:t>
            </w:r>
          </w:p>
        </w:tc>
        <w:tc>
          <w:tcPr>
            <w:tcW w:type="dxa" w:w="3360"/>
          </w:tcPr>
          <w:p>
            <w:r>
              <w:t>Confirmation</w:t>
            </w:r>
          </w:p>
        </w:tc>
        <w:tc>
          <w:tcPr>
            <w:tcW w:type="dxa" w:w="3360"/>
          </w:tcPr>
          <w:p>
            <w:r>
              <w:t>Does price/volume/VWAP/sector behavior support the sentiment?</w:t>
            </w:r>
          </w:p>
        </w:tc>
      </w:tr>
      <w:tr>
        <w:tc>
          <w:tcPr>
            <w:tcW w:type="dxa" w:w="3360"/>
          </w:tcPr>
          <w:p>
            <w:r>
              <w:t>After entry</w:t>
            </w:r>
          </w:p>
        </w:tc>
        <w:tc>
          <w:tcPr>
            <w:tcW w:type="dxa" w:w="3360"/>
          </w:tcPr>
          <w:p>
            <w:r>
              <w:t>Risk management</w:t>
            </w:r>
          </w:p>
        </w:tc>
        <w:tc>
          <w:tcPr>
            <w:tcW w:type="dxa" w:w="3360"/>
          </w:tcPr>
          <w:p>
            <w:r>
              <w:t>Where is the invalidation level? Is expected reward worth the risk?</w:t>
            </w:r>
          </w:p>
        </w:tc>
      </w:tr>
    </w:tbl>
    <w:p>
      <w:r>
        <w:t>*Approximate during US daylight-saving time; adjust for seasonal time changes.</w:t>
      </w:r>
    </w:p>
    <w:p>
      <w:pPr>
        <w:pStyle w:val="Heading1"/>
      </w:pPr>
      <w:r>
        <w:t>11. Practical Sentiment Score</w:t>
      </w:r>
    </w:p>
    <w:p>
      <w:r>
        <w:t>A starting framework for research/backtesting—not a proven predictive model:</w:t>
      </w:r>
    </w:p>
    <w:tbl>
      <w:tblPr>
        <w:tblStyle w:val="TableGrid"/>
        <w:tblW w:type="auto" w:w="0"/>
        <w:tblLook w:firstColumn="1" w:firstRow="1" w:lastColumn="0" w:lastRow="0" w:noHBand="0" w:noVBand="1" w:val="04A0"/>
      </w:tblPr>
      <w:tblGrid>
        <w:gridCol w:w="3360"/>
        <w:gridCol w:w="3360"/>
        <w:gridCol w:w="3360"/>
      </w:tblGrid>
      <w:tr>
        <w:tc>
          <w:tcPr>
            <w:tcW w:type="dxa" w:w="3360"/>
          </w:tcPr>
          <w:p>
            <w:r>
              <w:t>Signal</w:t>
            </w:r>
          </w:p>
        </w:tc>
        <w:tc>
          <w:tcPr>
            <w:tcW w:type="dxa" w:w="3360"/>
          </w:tcPr>
          <w:p>
            <w:r>
              <w:t>Example weight</w:t>
            </w:r>
          </w:p>
        </w:tc>
        <w:tc>
          <w:tcPr>
            <w:tcW w:type="dxa" w:w="3360"/>
          </w:tcPr>
          <w:p>
            <w:r>
              <w:t>What to assess</w:t>
            </w:r>
          </w:p>
        </w:tc>
      </w:tr>
      <w:tr>
        <w:tc>
          <w:tcPr>
            <w:tcW w:type="dxa" w:w="3360"/>
          </w:tcPr>
          <w:p>
            <w:r>
              <w:t>News/catalyst</w:t>
            </w:r>
          </w:p>
        </w:tc>
        <w:tc>
          <w:tcPr>
            <w:tcW w:type="dxa" w:w="3360"/>
          </w:tcPr>
          <w:p>
            <w:r>
              <w:t>+2</w:t>
            </w:r>
          </w:p>
        </w:tc>
        <w:tc>
          <w:tcPr>
            <w:tcW w:type="dxa" w:w="3360"/>
          </w:tcPr>
          <w:p>
            <w:r>
              <w:t>Is the information genuinely new and above/below expectations?</w:t>
            </w:r>
          </w:p>
        </w:tc>
      </w:tr>
      <w:tr>
        <w:tc>
          <w:tcPr>
            <w:tcW w:type="dxa" w:w="3360"/>
          </w:tcPr>
          <w:p>
            <w:r>
              <w:t>Analyst revisions</w:t>
            </w:r>
          </w:p>
        </w:tc>
        <w:tc>
          <w:tcPr>
            <w:tcW w:type="dxa" w:w="3360"/>
          </w:tcPr>
          <w:p>
            <w:r>
              <w:t>+2</w:t>
            </w:r>
          </w:p>
        </w:tc>
        <w:tc>
          <w:tcPr>
            <w:tcW w:type="dxa" w:w="3360"/>
          </w:tcPr>
          <w:p>
            <w:r>
              <w:t>Are estimates/targets moving in the same direction?</w:t>
            </w:r>
          </w:p>
        </w:tc>
      </w:tr>
      <w:tr>
        <w:tc>
          <w:tcPr>
            <w:tcW w:type="dxa" w:w="3360"/>
          </w:tcPr>
          <w:p>
            <w:r>
              <w:t>Earnings surprise/guidance</w:t>
            </w:r>
          </w:p>
        </w:tc>
        <w:tc>
          <w:tcPr>
            <w:tcW w:type="dxa" w:w="3360"/>
          </w:tcPr>
          <w:p>
            <w:r>
              <w:t>+2</w:t>
            </w:r>
          </w:p>
        </w:tc>
        <w:tc>
          <w:tcPr>
            <w:tcW w:type="dxa" w:w="3360"/>
          </w:tcPr>
          <w:p>
            <w:r>
              <w:t>Did actual results and guidance beat the expectations bar?</w:t>
            </w:r>
          </w:p>
        </w:tc>
      </w:tr>
      <w:tr>
        <w:tc>
          <w:tcPr>
            <w:tcW w:type="dxa" w:w="3360"/>
          </w:tcPr>
          <w:p>
            <w:r>
              <w:t>Options flow</w:t>
            </w:r>
          </w:p>
        </w:tc>
        <w:tc>
          <w:tcPr>
            <w:tcW w:type="dxa" w:w="3360"/>
          </w:tcPr>
          <w:p>
            <w:r>
              <w:t>+1</w:t>
            </w:r>
          </w:p>
        </w:tc>
        <w:tc>
          <w:tcPr>
            <w:tcW w:type="dxa" w:w="3360"/>
          </w:tcPr>
          <w:p>
            <w:r>
              <w:t>Is positioning consistent with the thesis?</w:t>
            </w:r>
          </w:p>
        </w:tc>
      </w:tr>
      <w:tr>
        <w:tc>
          <w:tcPr>
            <w:tcW w:type="dxa" w:w="3360"/>
          </w:tcPr>
          <w:p>
            <w:r>
              <w:t>Insider activity</w:t>
            </w:r>
          </w:p>
        </w:tc>
        <w:tc>
          <w:tcPr>
            <w:tcW w:type="dxa" w:w="3360"/>
          </w:tcPr>
          <w:p>
            <w:r>
              <w:t>+1</w:t>
            </w:r>
          </w:p>
        </w:tc>
        <w:tc>
          <w:tcPr>
            <w:tcW w:type="dxa" w:w="3360"/>
          </w:tcPr>
          <w:p>
            <w:r>
              <w:t>Are meaningful insider transactions supportive?</w:t>
            </w:r>
          </w:p>
        </w:tc>
      </w:tr>
      <w:tr>
        <w:tc>
          <w:tcPr>
            <w:tcW w:type="dxa" w:w="3360"/>
          </w:tcPr>
          <w:p>
            <w:r>
              <w:t>Social sentiment</w:t>
            </w:r>
          </w:p>
        </w:tc>
        <w:tc>
          <w:tcPr>
            <w:tcW w:type="dxa" w:w="3360"/>
          </w:tcPr>
          <w:p>
            <w:r>
              <w:t>+1</w:t>
            </w:r>
          </w:p>
        </w:tc>
        <w:tc>
          <w:tcPr>
            <w:tcW w:type="dxa" w:w="3360"/>
          </w:tcPr>
          <w:p>
            <w:r>
              <w:t>Is attention/sentiment unusually strong?</w:t>
            </w:r>
          </w:p>
        </w:tc>
      </w:tr>
      <w:tr>
        <w:tc>
          <w:tcPr>
            <w:tcW w:type="dxa" w:w="3360"/>
          </w:tcPr>
          <w:p>
            <w:r>
              <w:t>Price/volume confirmation</w:t>
            </w:r>
          </w:p>
        </w:tc>
        <w:tc>
          <w:tcPr>
            <w:tcW w:type="dxa" w:w="3360"/>
          </w:tcPr>
          <w:p>
            <w:r>
              <w:t>+2</w:t>
            </w:r>
          </w:p>
        </w:tc>
        <w:tc>
          <w:tcPr>
            <w:tcW w:type="dxa" w:w="3360"/>
          </w:tcPr>
          <w:p>
            <w:r>
              <w:t>Does price action validate the thesis?</w:t>
            </w:r>
          </w:p>
        </w:tc>
      </w:tr>
    </w:tbl>
    <w:p>
      <w:r>
        <w:t>Illustrative interpretation: 8–11 = strong setup to investigate; 5–7 = watch; 3–4 = neutral/weak; 0–2 = avoid. These thresholds and weights must be tested with historical data before being used with real money.</w:t>
      </w:r>
    </w:p>
    <w:p>
      <w:pPr>
        <w:pStyle w:val="Heading1"/>
      </w:pPr>
      <w:r>
        <w:t>12. Signal Hierarchy</w:t>
      </w:r>
    </w:p>
    <w:p>
      <w:r>
        <w:t>For a sentiment-driven strategy, prioritize:</w:t>
      </w:r>
    </w:p>
    <w:p>
      <w:r>
        <w:t>1. Unexpected catalyst</w:t>
      </w:r>
    </w:p>
    <w:p>
      <w:r>
        <w:t>2. Market/sector reaction</w:t>
      </w:r>
    </w:p>
    <w:p>
      <w:r>
        <w:t>3. Price + volume confirmation</w:t>
      </w:r>
    </w:p>
    <w:p>
      <w:r>
        <w:t>4. Options positioning</w:t>
      </w:r>
    </w:p>
    <w:p>
      <w:r>
        <w:t>5. Analyst revisions</w:t>
      </w:r>
    </w:p>
    <w:p>
      <w:r>
        <w:t>6. Social sentiment</w:t>
      </w:r>
    </w:p>
    <w:p>
      <w:pPr>
        <w:pStyle w:val="Heading1"/>
      </w:pPr>
      <w:r>
        <w:t>13. Entry Checklist</w:t>
      </w:r>
    </w:p>
    <w:p>
      <w:pPr>
        <w:pStyle w:val="ListBullet"/>
      </w:pPr>
      <w:r>
        <w:t>I can identify the catalyst.</w:t>
      </w:r>
    </w:p>
    <w:p>
      <w:pPr>
        <w:pStyle w:val="ListBullet"/>
      </w:pPr>
      <w:r>
        <w:t>The catalyst is genuinely new or materially different from expectations.</w:t>
      </w:r>
    </w:p>
    <w:p>
      <w:pPr>
        <w:pStyle w:val="ListBullet"/>
      </w:pPr>
      <w:r>
        <w:t>Overall market sentiment supports the trade—or I have a clear reason it does not need to.</w:t>
      </w:r>
    </w:p>
    <w:p>
      <w:pPr>
        <w:pStyle w:val="ListBullet"/>
      </w:pPr>
      <w:r>
        <w:t>The sector confirms the stock thesis.</w:t>
      </w:r>
    </w:p>
    <w:p>
      <w:pPr>
        <w:pStyle w:val="ListBullet"/>
      </w:pPr>
      <w:r>
        <w:t>Price action confirms the sentiment.</w:t>
      </w:r>
    </w:p>
    <w:p>
      <w:pPr>
        <w:pStyle w:val="ListBullet"/>
      </w:pPr>
      <w:r>
        <w:t>Volume is meaningful.</w:t>
      </w:r>
    </w:p>
    <w:p>
      <w:pPr>
        <w:pStyle w:val="ListBullet"/>
      </w:pPr>
      <w:r>
        <w:t>Price is behaving constructively around VWAP/opening range/key levels.</w:t>
      </w:r>
    </w:p>
    <w:p>
      <w:pPr>
        <w:pStyle w:val="ListBullet"/>
      </w:pPr>
      <w:r>
        <w:t>I know the invalidation/stop level before entering.</w:t>
      </w:r>
    </w:p>
    <w:p>
      <w:pPr>
        <w:pStyle w:val="ListBullet"/>
      </w:pPr>
      <w:r>
        <w:t>The expected reward is at least roughly 2× the planned risk.</w:t>
      </w:r>
    </w:p>
    <w:p>
      <w:pPr>
        <w:pStyle w:val="ListBullet"/>
      </w:pPr>
      <w:r>
        <w:t>I am not entering solely because of social-media hype.</w:t>
      </w:r>
    </w:p>
    <w:p>
      <w:pPr>
        <w:pStyle w:val="ListBullet"/>
      </w:pPr>
      <w:r>
        <w:t>The position size is appropriate for the risk.</w:t>
      </w:r>
    </w:p>
    <w:p>
      <w:pPr>
        <w:pStyle w:val="Heading1"/>
      </w:pPr>
      <w:r>
        <w:t>14. Key Lessons</w:t>
      </w:r>
    </w:p>
    <w:p>
      <w:pPr>
        <w:pStyle w:val="ListBullet"/>
      </w:pPr>
      <w:r>
        <w:t>The best trade is not necessarily at the market open.</w:t>
      </w:r>
    </w:p>
    <w:p>
      <w:pPr>
        <w:pStyle w:val="ListBullet"/>
      </w:pPr>
      <w:r>
        <w:t>The first 15 minutes can be noisy; waiting for confirmation can reduce impulsive entries.</w:t>
      </w:r>
    </w:p>
    <w:p>
      <w:pPr>
        <w:pStyle w:val="ListBullet"/>
      </w:pPr>
      <w:r>
        <w:t>The market's reaction to news can be more informative than the headline itself.</w:t>
      </w:r>
    </w:p>
    <w:p>
      <w:pPr>
        <w:pStyle w:val="ListBullet"/>
      </w:pPr>
      <w:r>
        <w:t>There is no dependable 'Friday rule.' Catalyst and confirmation matter more than weekday.</w:t>
      </w:r>
    </w:p>
    <w:p>
      <w:pPr>
        <w:pStyle w:val="ListBullet"/>
      </w:pPr>
      <w:r>
        <w:t>Sentiment should generate candidates; price/volume and risk management should validate the trade.</w:t>
      </w:r>
    </w:p>
    <w:p>
      <w:pPr>
        <w:pStyle w:val="ListBullet"/>
      </w:pPr>
      <w:r>
        <w:t>Do not confuse a crowded bullish narrative with an attractive entry.</w:t>
      </w:r>
    </w:p>
    <w:p>
      <w:pPr>
        <w:pStyle w:val="ListBullet"/>
      </w:pPr>
      <w:r>
        <w:t>Backtest every rule before risking real capital.</w:t>
      </w:r>
    </w:p>
    <w:p>
      <w:pPr>
        <w:pStyle w:val="Heading1"/>
      </w:pPr>
      <w:r>
        <w:t>15. Suggested Next Step</w:t>
      </w:r>
    </w:p>
    <w:p>
      <w:r>
        <w:t>Build a spreadsheet or small Python-based scanner that calculates a 0–100 Sentiment Entry Score for a watchlist of US and Canadian stocks. Start with free/public data, test the strategy over historical periods, and only then decide which paid data or newsletters provide enough incremental value to justify their cost.</w:t>
      </w:r>
    </w:p>
    <w:p>
      <w:pPr>
        <w:pStyle w:val="Heading1"/>
      </w:pPr>
      <w:r>
        <w:t>Important Risk Note</w:t>
      </w:r>
    </w:p>
    <w:p>
      <w:r>
        <w:t>This document is educational. Trading involves the risk of loss, including substantial loss of capital. Sentiment indicators can be noisy, delayed, manipulated, or incorrectly interpreted. Options activity, insider transactions, analyst ratings, and social sentiment should not be treated as guaranteed predictors of future price movements. Use position sizing, predefined risk limits, and paper trading/backtesting before deploying a strategy with real money.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