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My Early Life</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for myself, I have already had more than my full measure of this exquisite enjoyment, so much that for many years my life was little short of continuous rapture. I am credited with being one of the hardest workers and perhaps I am, if thought is the equivalent of labor, for I have devoted to it almost all of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attempting to give a connected and faithful account of my activities in this series of articles which will be presented with the assistance of the Editors of the ELECTRICAL EXPERIMENTER and are chiefly addrest to our young men readers, I must dwell, however reluctantly, on the impressions of my youth and the circumstances and events which have been instrumental in determining my career.</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endeavors are purely instinctive, promptings of an imagination vivid and undisciplined. As we grow older reason asserts itself and we become more and more systematic and designing. But those early impulses, tho not immediately productive, are of the greatest moment and may shape our very destinies. Indeed, I feel now that had I understood and cultivated instead of suppressing them, I would have added substantial value to my bequest to the world. But not until I had attained manhood did I realize that I was an inventor.</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due to a number of causes. In the first place I had a brother who was gifted to an extraordinary degree—one of those rare phenomena of mentality which biological investigation has failed to explain. His premature death left my parents disconsolate. We owned a horse which had been presented to us by a dear friend. It was a magnificent animal of Arabian breed, possest of almost human intelligence, and was cared for and petted by the whole family, having on one occasion saved my father’s life under remarkable circumstances. My father had been called one winter night to perform an urgent duty and while crossing the mountains, infested by wolves, the horse became frightened and ran away, throwing him violently to the ground. It arrived home bleeding and exhausted, but after the alarm was sounded immediately dashed off again, returning to the spot, and before the searching party were far on the way they were met by my father, who had recovered consciousness and remounted, not realizing that he had been lying in the snow for several hours. This horse was responsible for my brother’s injuries from which he died. I witnest the tragic scene and altho fifty-six years have elapsed since, my visual impression of it has lost none of its force. The recollection of his attainments made every effort of mine seem dull in comparison.</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A">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gentlemen—a wealthy citizen—paused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rsidR="00FC693F" w:rsidRPr="0006063C" w:rsidSect="00034616">
      <w:pgSz w:w="12240" w:h="15840"/>
      <w:pgMar w:top="1440" w:right="1800" w:bottom="1440" w:left="1800" w:header="720" w:footer="720" w:gutter="0"/>
      <w:cols w:space="720"/>
      <w:docGrid w:linePitch="360"/>
    </w:sectPr>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