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b/>
          <w:sz w:val="24"/>
        </w:rPr>
        <w:t>一、我的早年生活</w:t>
      </w:r>
    </w:p>
    <w:p>
      <w:pPr>
        <w:pStyle w:val="Normal"/>
      </w:pPr>
      <w:r>
        <w:rPr>
          <w:sz w:val="24"/>
        </w:rPr>
        <w:t>人類的進步發展極其依賴於發明。</w:t>
      </w:r>
    </w:p>
    <w:p>
      <w:pPr>
        <w:pStyle w:val="Normal"/>
      </w:pPr>
    </w:p>
    <w:p>
      <w:pPr>
        <w:pStyle w:val="Normal"/>
      </w:pPr>
      <w:r>
        <w:rPr>
          <w:sz w:val="24"/>
        </w:rPr>
        <w:t>這是他創意腦力中最重要的一項產品。</w:t>
      </w:r>
    </w:p>
    <w:p>
      <w:pPr>
        <w:pStyle w:val="Normal"/>
      </w:pPr>
    </w:p>
    <w:p>
      <w:pPr>
        <w:pStyle w:val="Normal"/>
      </w:pPr>
      <w:r>
        <w:rPr>
          <w:sz w:val="24"/>
        </w:rPr>
        <w:t>其最終目標是完全掌握心靈對物質世界的控制，將自然力量運用於人類需求。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