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120224 // Link //</w:t>
      </w:r>
    </w:p>
    <w:p w:rsidR="00000000" w:rsidDel="00000000" w:rsidP="00000000" w:rsidRDefault="00000000" w:rsidRPr="00000000" w14:paraId="00000002">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 </w:t>
      </w:r>
    </w:p>
    <w:p w:rsidR="00000000" w:rsidDel="00000000" w:rsidP="00000000" w:rsidRDefault="00000000" w:rsidRPr="00000000" w14:paraId="00000004">
      <w:pPr>
        <w:spacing w:line="480" w:lineRule="auto"/>
        <w:jc w:val="both"/>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5 Beneficios del Token AGIX </w:t>
      </w:r>
      <w:r w:rsidDel="00000000" w:rsidR="00000000" w:rsidRPr="00000000">
        <w:rPr>
          <w:rtl w:val="0"/>
        </w:rPr>
      </w:r>
    </w:p>
    <w:p w:rsidR="00000000" w:rsidDel="00000000" w:rsidP="00000000" w:rsidRDefault="00000000" w:rsidRPr="00000000" w14:paraId="00000005">
      <w:pPr>
        <w:spacing w:line="48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El AGIX es el Token utilizado por SingularityNET en toda la plataforma para la gestión de transacciones y la gobernanza comunitaria descentralizada. La manera más directa, más concreta y poderosa de involucrarte con la Comunidad de SingularityNET es adquiriendo el token AGIX. Una vez en tus manos, el AGIX va a permitirte hacer una cantidad de cosas como: comprar, vender servicios de IA en el marketplace, tener capacidad de decisión y poder de voto en las diferentes instancias y procesos de votación, acopiar AGIX y ganar comisiones (staking) y participar de constantes airdrops. </w:t>
      </w:r>
    </w:p>
    <w:p w:rsidR="00000000" w:rsidDel="00000000" w:rsidP="00000000" w:rsidRDefault="00000000" w:rsidRPr="00000000" w14:paraId="00000007">
      <w:pPr>
        <w:spacing w:line="48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jc w:val="both"/>
        <w:rPr>
          <w:rFonts w:ascii="Georgia" w:cs="Georgia" w:eastAsia="Georgia" w:hAnsi="Georgia"/>
          <w:i w:val="1"/>
          <w:sz w:val="24"/>
          <w:szCs w:val="24"/>
          <w:highlight w:val="white"/>
        </w:rPr>
      </w:pPr>
      <w:r w:rsidDel="00000000" w:rsidR="00000000" w:rsidRPr="00000000">
        <w:rPr>
          <w:rFonts w:ascii="Georgia" w:cs="Georgia" w:eastAsia="Georgia" w:hAnsi="Georgia"/>
          <w:sz w:val="24"/>
          <w:szCs w:val="24"/>
          <w:highlight w:val="white"/>
          <w:rtl w:val="0"/>
        </w:rPr>
        <w:t xml:space="preserve">El AGIX te va a permitir formar parte activa en la comunidad y tener voz y voto, pero, tener AGIX no es todo lo que puedes hacer para formar parte de la comunidad de SingularityNET. Es importante que sepas que tener AGIX no es condición exclusiva para formar parte de las discusiones y aportar valor a las conversaciones comunitarias. De todas formas, al ser el AGIX el Token de nuestra querida comunidad, nos permite hacer una cantidad de actividades diferentes y gozar de beneficios específicos.</w:t>
      </w:r>
      <w:r w:rsidDel="00000000" w:rsidR="00000000" w:rsidRPr="00000000">
        <w:rPr>
          <w:rFonts w:ascii="Georgia" w:cs="Georgia" w:eastAsia="Georgia" w:hAnsi="Georgia"/>
          <w:i w:val="1"/>
          <w:sz w:val="24"/>
          <w:szCs w:val="24"/>
          <w:highlight w:val="white"/>
          <w:rtl w:val="0"/>
        </w:rPr>
        <w:t xml:space="preserve"> </w:t>
      </w:r>
    </w:p>
    <w:p w:rsidR="00000000" w:rsidDel="00000000" w:rsidP="00000000" w:rsidRDefault="00000000" w:rsidRPr="00000000" w14:paraId="00000009">
      <w:pPr>
        <w:spacing w:line="480" w:lineRule="auto"/>
        <w:jc w:val="both"/>
        <w:rPr>
          <w:rFonts w:ascii="Georgia" w:cs="Georgia" w:eastAsia="Georgia" w:hAnsi="Georgia"/>
          <w:i w:val="1"/>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jc w:val="both"/>
        <w:rPr>
          <w:rFonts w:ascii="Georgia" w:cs="Georgia" w:eastAsia="Georgia" w:hAnsi="Georgia"/>
          <w:i w:val="1"/>
          <w:sz w:val="24"/>
          <w:szCs w:val="24"/>
          <w:highlight w:val="white"/>
        </w:rPr>
      </w:pPr>
      <w:r w:rsidDel="00000000" w:rsidR="00000000" w:rsidRPr="00000000">
        <w:rPr>
          <w:rFonts w:ascii="Georgia" w:cs="Georgia" w:eastAsia="Georgia" w:hAnsi="Georgia"/>
          <w:i w:val="1"/>
          <w:sz w:val="24"/>
          <w:szCs w:val="24"/>
          <w:highlight w:val="white"/>
          <w:rtl w:val="0"/>
        </w:rPr>
        <w:t xml:space="preserve">Vamos a conocerlos los beneficios del AGIX un poco más de cerca </w:t>
      </w:r>
    </w:p>
    <w:p w:rsidR="00000000" w:rsidDel="00000000" w:rsidP="00000000" w:rsidRDefault="00000000" w:rsidRPr="00000000" w14:paraId="0000000B">
      <w:pPr>
        <w:pStyle w:val="Heading6"/>
        <w:keepNext w:val="0"/>
        <w:keepLines w:val="0"/>
        <w:shd w:fill="ffffff" w:val="clear"/>
        <w:spacing w:after="360" w:before="0" w:line="480" w:lineRule="auto"/>
        <w:jc w:val="both"/>
        <w:rPr>
          <w:rFonts w:ascii="Georgia" w:cs="Georgia" w:eastAsia="Georgia" w:hAnsi="Georgia"/>
          <w:b w:val="1"/>
          <w:i w:val="0"/>
          <w:color w:val="000000"/>
          <w:sz w:val="24"/>
          <w:szCs w:val="24"/>
          <w:highlight w:val="white"/>
        </w:rPr>
      </w:pPr>
      <w:bookmarkStart w:colFirst="0" w:colLast="0" w:name="_of2xi3x3t3" w:id="0"/>
      <w:bookmarkEnd w:id="0"/>
      <w:r w:rsidDel="00000000" w:rsidR="00000000" w:rsidRPr="00000000">
        <w:rPr>
          <w:rtl w:val="0"/>
        </w:rPr>
      </w:r>
    </w:p>
    <w:p w:rsidR="00000000" w:rsidDel="00000000" w:rsidP="00000000" w:rsidRDefault="00000000" w:rsidRPr="00000000" w14:paraId="0000000C">
      <w:pPr>
        <w:pStyle w:val="Heading6"/>
        <w:keepNext w:val="0"/>
        <w:keepLines w:val="0"/>
        <w:shd w:fill="ffffff" w:val="clear"/>
        <w:spacing w:after="360" w:before="0" w:line="480" w:lineRule="auto"/>
        <w:jc w:val="both"/>
        <w:rPr>
          <w:rFonts w:ascii="Georgia" w:cs="Georgia" w:eastAsia="Georgia" w:hAnsi="Georgia"/>
          <w:b w:val="1"/>
          <w:i w:val="0"/>
          <w:color w:val="000000"/>
          <w:sz w:val="24"/>
          <w:szCs w:val="24"/>
          <w:highlight w:val="white"/>
        </w:rPr>
      </w:pPr>
      <w:bookmarkStart w:colFirst="0" w:colLast="0" w:name="_pnbhnqie17bp" w:id="1"/>
      <w:bookmarkEnd w:id="1"/>
      <w:r w:rsidDel="00000000" w:rsidR="00000000" w:rsidRPr="00000000">
        <w:rPr>
          <w:rFonts w:ascii="Georgia" w:cs="Georgia" w:eastAsia="Georgia" w:hAnsi="Georgia"/>
          <w:b w:val="1"/>
          <w:i w:val="0"/>
          <w:color w:val="000000"/>
          <w:sz w:val="24"/>
          <w:szCs w:val="24"/>
          <w:highlight w:val="white"/>
          <w:rtl w:val="0"/>
        </w:rPr>
        <w:t xml:space="preserve">1.Token de Utilidad </w:t>
      </w:r>
    </w:p>
    <w:p w:rsidR="00000000" w:rsidDel="00000000" w:rsidP="00000000" w:rsidRDefault="00000000" w:rsidRPr="00000000" w14:paraId="0000000D">
      <w:pPr>
        <w:shd w:fill="ffffff" w:val="clear"/>
        <w:spacing w:line="48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El AGIX te va a permitir hacer transacciones descentralizadas dentro del mercado de IA, tener un acceso global a diferentes servicios especializados de IA y una futura interacción autónoma y directa con la IA. </w:t>
      </w:r>
    </w:p>
    <w:p w:rsidR="00000000" w:rsidDel="00000000" w:rsidP="00000000" w:rsidRDefault="00000000" w:rsidRPr="00000000" w14:paraId="0000000E">
      <w:pPr>
        <w:shd w:fill="ffffff" w:val="clear"/>
        <w:spacing w:line="48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F">
      <w:pPr>
        <w:pStyle w:val="Heading6"/>
        <w:keepNext w:val="0"/>
        <w:keepLines w:val="0"/>
        <w:shd w:fill="ffffff" w:val="clear"/>
        <w:spacing w:after="360" w:before="0" w:line="480" w:lineRule="auto"/>
        <w:jc w:val="both"/>
        <w:rPr>
          <w:rFonts w:ascii="Georgia" w:cs="Georgia" w:eastAsia="Georgia" w:hAnsi="Georgia"/>
          <w:b w:val="1"/>
          <w:i w:val="0"/>
          <w:color w:val="000000"/>
          <w:sz w:val="24"/>
          <w:szCs w:val="24"/>
          <w:highlight w:val="white"/>
        </w:rPr>
      </w:pPr>
      <w:bookmarkStart w:colFirst="0" w:colLast="0" w:name="_j2enfom8olar" w:id="2"/>
      <w:bookmarkEnd w:id="2"/>
      <w:r w:rsidDel="00000000" w:rsidR="00000000" w:rsidRPr="00000000">
        <w:rPr>
          <w:rFonts w:ascii="Georgia" w:cs="Georgia" w:eastAsia="Georgia" w:hAnsi="Georgia"/>
          <w:b w:val="1"/>
          <w:i w:val="0"/>
          <w:color w:val="000000"/>
          <w:sz w:val="24"/>
          <w:szCs w:val="24"/>
          <w:highlight w:val="white"/>
          <w:rtl w:val="0"/>
        </w:rPr>
        <w:t xml:space="preserve">2.Gobernanza y votación </w:t>
      </w:r>
    </w:p>
    <w:p w:rsidR="00000000" w:rsidDel="00000000" w:rsidP="00000000" w:rsidRDefault="00000000" w:rsidRPr="00000000" w14:paraId="00000010">
      <w:pPr>
        <w:pStyle w:val="Heading6"/>
        <w:keepNext w:val="0"/>
        <w:keepLines w:val="0"/>
        <w:shd w:fill="ffffff" w:val="clear"/>
        <w:spacing w:after="360" w:before="0" w:line="480" w:lineRule="auto"/>
        <w:jc w:val="both"/>
        <w:rPr>
          <w:rFonts w:ascii="Georgia" w:cs="Georgia" w:eastAsia="Georgia" w:hAnsi="Georgia"/>
          <w:i w:val="0"/>
          <w:color w:val="000000"/>
          <w:sz w:val="24"/>
          <w:szCs w:val="24"/>
          <w:highlight w:val="white"/>
        </w:rPr>
      </w:pPr>
      <w:bookmarkStart w:colFirst="0" w:colLast="0" w:name="_uo8k6mvco02a" w:id="3"/>
      <w:bookmarkEnd w:id="3"/>
      <w:r w:rsidDel="00000000" w:rsidR="00000000" w:rsidRPr="00000000">
        <w:rPr>
          <w:rFonts w:ascii="Georgia" w:cs="Georgia" w:eastAsia="Georgia" w:hAnsi="Georgia"/>
          <w:i w:val="0"/>
          <w:color w:val="000000"/>
          <w:sz w:val="24"/>
          <w:szCs w:val="24"/>
          <w:highlight w:val="white"/>
          <w:rtl w:val="0"/>
        </w:rPr>
        <w:t xml:space="preserve">Los dueños de AGIX, o AGIX holders, participan en niveles cada vez mayores de toma de decisiones de gobernanza dentro de la organización SingularityNET y a medida que te involucres cada vez más con la comunidad, tendrás recompensas por mérito y reputación en AGIX y tu poder de voto aumentará.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6"/>
        <w:keepNext w:val="0"/>
        <w:keepLines w:val="0"/>
        <w:shd w:fill="ffffff" w:val="clear"/>
        <w:spacing w:after="360" w:before="0" w:line="480" w:lineRule="auto"/>
        <w:jc w:val="both"/>
        <w:rPr>
          <w:rFonts w:ascii="Georgia" w:cs="Georgia" w:eastAsia="Georgia" w:hAnsi="Georgia"/>
          <w:b w:val="1"/>
          <w:i w:val="0"/>
          <w:color w:val="000000"/>
          <w:sz w:val="24"/>
          <w:szCs w:val="24"/>
          <w:highlight w:val="white"/>
        </w:rPr>
      </w:pPr>
      <w:bookmarkStart w:colFirst="0" w:colLast="0" w:name="_so079mpm4abd" w:id="4"/>
      <w:bookmarkEnd w:id="4"/>
      <w:r w:rsidDel="00000000" w:rsidR="00000000" w:rsidRPr="00000000">
        <w:rPr>
          <w:rFonts w:ascii="Georgia" w:cs="Georgia" w:eastAsia="Georgia" w:hAnsi="Georgia"/>
          <w:b w:val="1"/>
          <w:i w:val="0"/>
          <w:color w:val="000000"/>
          <w:sz w:val="24"/>
          <w:szCs w:val="24"/>
          <w:highlight w:val="white"/>
          <w:rtl w:val="0"/>
        </w:rPr>
        <w:t xml:space="preserve">3.Multi Chain Token</w:t>
      </w:r>
    </w:p>
    <w:p w:rsidR="00000000" w:rsidDel="00000000" w:rsidP="00000000" w:rsidRDefault="00000000" w:rsidRPr="00000000" w14:paraId="00000013">
      <w:pPr>
        <w:shd w:fill="ffffff" w:val="clear"/>
        <w:spacing w:line="480" w:lineRule="auto"/>
        <w:jc w:val="both"/>
        <w:rPr>
          <w:rFonts w:ascii="Georgia" w:cs="Georgia" w:eastAsia="Georgia" w:hAnsi="Georgia"/>
          <w:b w:val="1"/>
          <w:i w:val="0"/>
          <w:color w:val="000000"/>
          <w:sz w:val="24"/>
          <w:szCs w:val="24"/>
          <w:highlight w:val="white"/>
        </w:rPr>
      </w:pPr>
      <w:r w:rsidDel="00000000" w:rsidR="00000000" w:rsidRPr="00000000">
        <w:rPr>
          <w:rFonts w:ascii="Georgia" w:cs="Georgia" w:eastAsia="Georgia" w:hAnsi="Georgia"/>
          <w:sz w:val="24"/>
          <w:szCs w:val="24"/>
          <w:highlight w:val="white"/>
          <w:rtl w:val="0"/>
        </w:rPr>
        <w:t xml:space="preserve">El token AGIX funciona dentro de la cadena de Cardano y Ethereum, convirtiéndose así en un asset digital más estable, seguro y flexible. </w:t>
      </w:r>
      <w:r w:rsidDel="00000000" w:rsidR="00000000" w:rsidRPr="00000000">
        <w:rPr>
          <w:rtl w:val="0"/>
        </w:rPr>
      </w:r>
    </w:p>
    <w:p w:rsidR="00000000" w:rsidDel="00000000" w:rsidP="00000000" w:rsidRDefault="00000000" w:rsidRPr="00000000" w14:paraId="00000014">
      <w:pPr>
        <w:pStyle w:val="Heading6"/>
        <w:keepNext w:val="0"/>
        <w:keepLines w:val="0"/>
        <w:shd w:fill="ffffff" w:val="clear"/>
        <w:spacing w:after="360" w:before="0" w:line="480" w:lineRule="auto"/>
        <w:jc w:val="both"/>
        <w:rPr>
          <w:rFonts w:ascii="Georgia" w:cs="Georgia" w:eastAsia="Georgia" w:hAnsi="Georgia"/>
          <w:b w:val="1"/>
          <w:i w:val="0"/>
          <w:color w:val="000000"/>
          <w:sz w:val="24"/>
          <w:szCs w:val="24"/>
          <w:highlight w:val="white"/>
        </w:rPr>
      </w:pPr>
      <w:bookmarkStart w:colFirst="0" w:colLast="0" w:name="_248hoiq90n2m" w:id="5"/>
      <w:bookmarkEnd w:id="5"/>
      <w:r w:rsidDel="00000000" w:rsidR="00000000" w:rsidRPr="00000000">
        <w:rPr>
          <w:rtl w:val="0"/>
        </w:rPr>
      </w:r>
    </w:p>
    <w:p w:rsidR="00000000" w:rsidDel="00000000" w:rsidP="00000000" w:rsidRDefault="00000000" w:rsidRPr="00000000" w14:paraId="00000015">
      <w:pPr>
        <w:pStyle w:val="Heading6"/>
        <w:keepNext w:val="0"/>
        <w:keepLines w:val="0"/>
        <w:shd w:fill="ffffff" w:val="clear"/>
        <w:spacing w:after="360" w:before="0" w:line="480" w:lineRule="auto"/>
        <w:jc w:val="both"/>
        <w:rPr>
          <w:rFonts w:ascii="Georgia" w:cs="Georgia" w:eastAsia="Georgia" w:hAnsi="Georgia"/>
          <w:b w:val="1"/>
          <w:i w:val="0"/>
          <w:color w:val="000000"/>
          <w:sz w:val="24"/>
          <w:szCs w:val="24"/>
          <w:highlight w:val="white"/>
        </w:rPr>
      </w:pPr>
      <w:bookmarkStart w:colFirst="0" w:colLast="0" w:name="_rk4e7w6ccv6l" w:id="6"/>
      <w:bookmarkEnd w:id="6"/>
      <w:r w:rsidDel="00000000" w:rsidR="00000000" w:rsidRPr="00000000">
        <w:rPr>
          <w:rFonts w:ascii="Georgia" w:cs="Georgia" w:eastAsia="Georgia" w:hAnsi="Georgia"/>
          <w:b w:val="1"/>
          <w:i w:val="0"/>
          <w:color w:val="000000"/>
          <w:sz w:val="24"/>
          <w:szCs w:val="24"/>
          <w:highlight w:val="white"/>
          <w:rtl w:val="0"/>
        </w:rPr>
        <w:t xml:space="preserve">4.Staking</w:t>
      </w:r>
    </w:p>
    <w:p w:rsidR="00000000" w:rsidDel="00000000" w:rsidP="00000000" w:rsidRDefault="00000000" w:rsidRPr="00000000" w14:paraId="00000016">
      <w:pPr>
        <w:shd w:fill="ffffff" w:val="clear"/>
        <w:spacing w:line="48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La comunidad puede acumular y apostar por el AGIX dentro de su plataforma y ahora también dentro de la red de Cardano para proporcionar liquidez y recibir una compensación en AGIX por su contribución.</w:t>
      </w:r>
    </w:p>
    <w:p w:rsidR="00000000" w:rsidDel="00000000" w:rsidP="00000000" w:rsidRDefault="00000000" w:rsidRPr="00000000" w14:paraId="00000017">
      <w:pPr>
        <w:shd w:fill="ffffff" w:val="clear"/>
        <w:spacing w:line="48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8">
      <w:pPr>
        <w:pStyle w:val="Heading6"/>
        <w:keepNext w:val="0"/>
        <w:keepLines w:val="0"/>
        <w:shd w:fill="ffffff" w:val="clear"/>
        <w:spacing w:after="360" w:before="0" w:line="480" w:lineRule="auto"/>
        <w:jc w:val="both"/>
        <w:rPr>
          <w:rFonts w:ascii="Georgia" w:cs="Georgia" w:eastAsia="Georgia" w:hAnsi="Georgia"/>
          <w:b w:val="1"/>
          <w:i w:val="0"/>
          <w:color w:val="000000"/>
          <w:sz w:val="24"/>
          <w:szCs w:val="24"/>
          <w:highlight w:val="white"/>
        </w:rPr>
      </w:pPr>
      <w:bookmarkStart w:colFirst="0" w:colLast="0" w:name="_h7ulp7j3z41u" w:id="7"/>
      <w:bookmarkEnd w:id="7"/>
      <w:r w:rsidDel="00000000" w:rsidR="00000000" w:rsidRPr="00000000">
        <w:rPr>
          <w:rFonts w:ascii="Georgia" w:cs="Georgia" w:eastAsia="Georgia" w:hAnsi="Georgia"/>
          <w:b w:val="1"/>
          <w:i w:val="0"/>
          <w:color w:val="000000"/>
          <w:sz w:val="24"/>
          <w:szCs w:val="24"/>
          <w:highlight w:val="white"/>
          <w:rtl w:val="0"/>
        </w:rPr>
        <w:t xml:space="preserve">5.Ecosystem Airdrops</w:t>
      </w:r>
    </w:p>
    <w:p w:rsidR="00000000" w:rsidDel="00000000" w:rsidP="00000000" w:rsidRDefault="00000000" w:rsidRPr="00000000" w14:paraId="00000019">
      <w:pPr>
        <w:shd w:fill="ffffff" w:val="clear"/>
        <w:spacing w:line="480" w:lineRule="auto"/>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Un 5% de los tokens de todos los proyectos tokenizados de SingularityNET son “lanzados desde el aire” en sorteo digital a los poseedores de tokens AGIX.</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color w:val="374151"/>
          <w:sz w:val="24"/>
          <w:szCs w:val="24"/>
          <w:highlight w:val="white"/>
        </w:rPr>
      </w:pPr>
      <w:r w:rsidDel="00000000" w:rsidR="00000000" w:rsidRPr="00000000">
        <w:rPr>
          <w:rFonts w:ascii="Georgia" w:cs="Georgia" w:eastAsia="Georgia" w:hAnsi="Georgia"/>
          <w:b w:val="1"/>
          <w:color w:val="374151"/>
          <w:sz w:val="24"/>
          <w:szCs w:val="24"/>
          <w:highlight w:val="white"/>
          <w:rtl w:val="0"/>
        </w:rPr>
        <w:t xml:space="preserve">⚠️ Advertencia de seguridad ⚠️</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color w:val="374151"/>
          <w:sz w:val="24"/>
          <w:szCs w:val="24"/>
          <w:highlight w:val="white"/>
        </w:rPr>
      </w:pPr>
      <w:r w:rsidDel="00000000" w:rsidR="00000000" w:rsidRPr="00000000">
        <w:rPr>
          <w:rFonts w:ascii="Georgia" w:cs="Georgia" w:eastAsia="Georgia" w:hAnsi="Georgia"/>
          <w:b w:val="1"/>
          <w:color w:val="374151"/>
          <w:sz w:val="24"/>
          <w:szCs w:val="24"/>
          <w:highlight w:val="white"/>
          <w:rtl w:val="0"/>
        </w:rPr>
        <w:t xml:space="preserve">Ni SingularityNET, SingularityDAO ni ningún proyecto en nuestro Ecosistema te PEDIRÁ NUNCA tokens, claves de billetera o que conectes tu billetera a algún sitio web extraño. Los estafadores pueden hacerse pasar por el proyecto/administradores/miembros del equipo, NUNCA realices estas acciones incluso si alguien que tiene nuestro nombre y/o semejanza te lo solicita.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color w:val="374151"/>
          <w:sz w:val="24"/>
          <w:szCs w:val="24"/>
          <w:highlight w:val="white"/>
        </w:rPr>
      </w:pPr>
      <w:r w:rsidDel="00000000" w:rsidR="00000000" w:rsidRPr="00000000">
        <w:rPr>
          <w:rFonts w:ascii="Georgia" w:cs="Georgia" w:eastAsia="Georgia" w:hAnsi="Georgia"/>
          <w:b w:val="1"/>
          <w:color w:val="374151"/>
          <w:sz w:val="24"/>
          <w:szCs w:val="24"/>
          <w:highlight w:val="white"/>
          <w:rtl w:val="0"/>
        </w:rPr>
        <w:t xml:space="preserve">⚠️Siempre verifica en los canales públicos⚠️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jc w:val="center"/>
        <w:rPr>
          <w:rFonts w:ascii="Georgia" w:cs="Georgia" w:eastAsia="Georgia" w:hAnsi="Georgia"/>
          <w:b w:val="1"/>
          <w:color w:val="374151"/>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20">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22">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23">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4">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5">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8">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A">
      <w:pPr>
        <w:spacing w:line="480" w:lineRule="auto"/>
        <w:jc w:val="both"/>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jc w:val="both"/>
        <w:rPr>
          <w:rFonts w:ascii="Georgia" w:cs="Georgia" w:eastAsia="Georgia" w:hAnsi="Georgia"/>
          <w:b w:val="1"/>
          <w:sz w:val="24"/>
          <w:szCs w:val="24"/>
          <w:highlight w:val="white"/>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