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290224 // Link //</w:t>
      </w:r>
    </w:p>
    <w:p w:rsidR="00000000" w:rsidDel="00000000" w:rsidP="00000000" w:rsidRDefault="00000000" w:rsidRPr="00000000" w14:paraId="0000000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b w:val="1"/>
          <w:sz w:val="28"/>
          <w:szCs w:val="28"/>
        </w:rPr>
      </w:pPr>
      <w:r w:rsidDel="00000000" w:rsidR="00000000" w:rsidRPr="00000000">
        <w:rPr>
          <w:rFonts w:ascii="Georgia" w:cs="Georgia" w:eastAsia="Georgia" w:hAnsi="Georgia"/>
          <w:i w:val="1"/>
          <w:sz w:val="24"/>
          <w:szCs w:val="24"/>
          <w:rtl w:val="0"/>
        </w:rPr>
        <w:t xml:space="preserve">// Título // </w:t>
      </w:r>
      <w:r w:rsidDel="00000000" w:rsidR="00000000" w:rsidRPr="00000000">
        <w:rPr>
          <w:rtl w:val="0"/>
        </w:rPr>
      </w:r>
    </w:p>
    <w:p w:rsidR="00000000" w:rsidDel="00000000" w:rsidP="00000000" w:rsidRDefault="00000000" w:rsidRPr="00000000" w14:paraId="00000004">
      <w:pPr>
        <w:spacing w:line="480" w:lineRule="auto"/>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Neuralink Implanta el Primer Chip Cerebral en un Ser Humano: Un Avance Revolucionario en la Interfaz Cerebro-Computadora</w:t>
      </w:r>
    </w:p>
    <w:p w:rsidR="00000000" w:rsidDel="00000000" w:rsidP="00000000" w:rsidRDefault="00000000" w:rsidRPr="00000000" w14:paraId="0000000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Este innovador dispositivo busca restaurar funciones cerebrales y mejorar la calidad de vida, abriendo nuevas posibilidades en la conexión entre la mente humana y la inteligencia artificial.</w:t>
      </w: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empresa Neuralink, fundada y dirigida por el visionario Elon Musk, ha alcanzado un hito histórico al implantar exitosamente el primer c</w:t>
      </w:r>
      <w:r w:rsidDel="00000000" w:rsidR="00000000" w:rsidRPr="00000000">
        <w:rPr>
          <w:rFonts w:ascii="Georgia" w:cs="Georgia" w:eastAsia="Georgia" w:hAnsi="Georgia"/>
          <w:sz w:val="24"/>
          <w:szCs w:val="24"/>
          <w:rtl w:val="0"/>
        </w:rPr>
        <w:t xml:space="preserve">hip cerebral en un ser humano. La revelación fue compartida por Musk en su plataforma de redes sociales, X, destacando que el paciente está experimentando una recuperación positiva y que los resultados iniciales demuestran una prometedora detección de picos neuronales.</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 noticia llega después de nueve meses desde que la Administración de Fármacos y Alimentos (FDA) otorgara la aprobación para que Neuralink iniciara sus estudios en humanos. El propósito fundamental de este innovador implante es "leer" la actividad cerebral para transmitir órdenes que puedan ayudar a restaurar funciones cerebrales afectadas, especialmente en casos de condiciones severas como el deterioro causado por un infarto o la esclerosis lateral amiotrófica (ELA), que conlleva a graves impedimentos en la capacidad comunicativa.</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 que distingue a Neuralink es su enfoque bidireccional, buscando no solo captar información desde el cerebro hacia el exterior, como es la norma con otros implantes cerebrales, </w:t>
      </w:r>
      <w:r w:rsidDel="00000000" w:rsidR="00000000" w:rsidRPr="00000000">
        <w:rPr>
          <w:rFonts w:ascii="Georgia" w:cs="Georgia" w:eastAsia="Georgia" w:hAnsi="Georgia"/>
          <w:b w:val="1"/>
          <w:sz w:val="24"/>
          <w:szCs w:val="24"/>
          <w:rtl w:val="0"/>
        </w:rPr>
        <w:t xml:space="preserve">sino también transmitir información desde dispositivos externos hacia el cerebro</w:t>
      </w:r>
      <w:r w:rsidDel="00000000" w:rsidR="00000000" w:rsidRPr="00000000">
        <w:rPr>
          <w:rFonts w:ascii="Georgia" w:cs="Georgia" w:eastAsia="Georgia" w:hAnsi="Georgia"/>
          <w:sz w:val="24"/>
          <w:szCs w:val="24"/>
          <w:rtl w:val="0"/>
        </w:rPr>
        <w:t xml:space="preserve">. La compañía trabaja en dos tipos de implantes simultáneamente: uno destinado a restaurar la visión, incluso en personas que nunca la hayan experimentado, y otro diseñado para restablecer funciones corporales básicas en individuos con parálisis debido a lesiones en la médula espinal.</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chip cerebral desarrollado por Neuralink, denominado N1, es un dispositivo innovador con un diámetro de 8 milímetros y 64 cables ultrafinos llamados hilos. Estos hilos, de tamaño comparable a las neuronas cerebrales, están equipados con electrodos y aislamiento. </w:t>
      </w:r>
      <w:r w:rsidDel="00000000" w:rsidR="00000000" w:rsidRPr="00000000">
        <w:rPr>
          <w:rFonts w:ascii="Georgia" w:cs="Georgia" w:eastAsia="Georgia" w:hAnsi="Georgia"/>
          <w:b w:val="1"/>
          <w:sz w:val="24"/>
          <w:szCs w:val="24"/>
          <w:rtl w:val="0"/>
        </w:rPr>
        <w:t xml:space="preserve">La cirugía para implantar el chip es llevada a cabo por un robot quirúrgico diseñado para una inserción precisa y eficiente de los hilos en el cráneo del paciente</w:t>
      </w:r>
      <w:r w:rsidDel="00000000" w:rsidR="00000000" w:rsidRPr="00000000">
        <w:rPr>
          <w:rFonts w:ascii="Georgia" w:cs="Georgia" w:eastAsia="Georgia" w:hAnsi="Georgia"/>
          <w:sz w:val="24"/>
          <w:szCs w:val="24"/>
          <w:rtl w:val="0"/>
        </w:rPr>
        <w:t xml:space="preserve">, evitando cualquier contacto con venas o arterias. Este enfoque garantiza la seguridad y eficacia del procedimiento.</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tecnología de Neuralink permite la comunicación inalámbrica entre el implante cerebral y una aplicación externa que decodifica las señales cerebrales, permitiendo una rápida y confiable interfaz cerebro-ordenador. Los resultados de las pruebas realizadas hasta ahora han sido prometedores, y </w:t>
      </w:r>
      <w:r w:rsidDel="00000000" w:rsidR="00000000" w:rsidRPr="00000000">
        <w:rPr>
          <w:rFonts w:ascii="Georgia" w:cs="Georgia" w:eastAsia="Georgia" w:hAnsi="Georgia"/>
          <w:b w:val="1"/>
          <w:sz w:val="24"/>
          <w:szCs w:val="24"/>
          <w:rtl w:val="0"/>
        </w:rPr>
        <w:t xml:space="preserve">Musk ha compartido su visión de que este avance podría revolucionar la vida de las personas con movilidad limitada, permitiéndoles controlar dispositivos como teléfonos y computadoras simplemente con el poder del pensamiento</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aplicación potencial de esta tecnología no se limita solo a la restauración de funciones físicas, sino que también apunta a transformar la manera en que interactuamos con la inteligencia artificial. Neuralink aspira a crear una experiencia total de interfaz cerebro-computadora que mejore la independencia y la calidad de vida de las personas. Además de ayudar a personas con discapacidades, la tecnología también podría tener aplicaciones en la investigación de señales eléctricas cerebrales, el desarrollo de fármacos y, eventualmente, la posibilidad de restaurar funciones como el habla y la memoria.</w:t>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 pesar de la atención mediática centrada en Neuralink, Elon Musk no está solo en este campo emergente de la interfaz cerebro-máquina. Otras empresas como Synchron, Precision Neuroscience, Paradromics y Blackrock Neurotech también están desarrollando sistemas avanzados para interpretar señales cerebrales y traducirlas en comandos para dispositivos externos. Este progreso colectivo promete un futuro emocionante en el que la conexión entre la mente humana y la tecnología podría redefinir los límites de lo posible. </w:t>
      </w:r>
      <w:r w:rsidDel="00000000" w:rsidR="00000000" w:rsidRPr="00000000">
        <w:rPr>
          <w:rFonts w:ascii="Georgia" w:cs="Georgia" w:eastAsia="Georgia" w:hAnsi="Georgia"/>
          <w:b w:val="1"/>
          <w:sz w:val="24"/>
          <w:szCs w:val="24"/>
          <w:rtl w:val="0"/>
        </w:rPr>
        <w:t xml:space="preserve">Aunque el camino hacia la comercialización incluye desafíos regulatorios y pruebas rigurosas, el potencial transformador de estos avances no puede ser subestimado, ofreciendo una visión fascinante de lo que depara el futuro en la intersección de la neurotecnología y la inteligencia artificial.</w:t>
      </w:r>
    </w:p>
    <w:p w:rsidR="00000000" w:rsidDel="00000000" w:rsidP="00000000" w:rsidRDefault="00000000" w:rsidRPr="00000000" w14:paraId="00000014">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17">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1A">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1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1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1">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