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220424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color w:val="374151"/>
          <w:sz w:val="24"/>
          <w:szCs w:val="24"/>
        </w:rPr>
      </w:pPr>
      <w:r w:rsidDel="00000000" w:rsidR="00000000" w:rsidRPr="00000000">
        <w:rPr>
          <w:rFonts w:ascii="Georgia" w:cs="Georgia" w:eastAsia="Georgia" w:hAnsi="Georgia"/>
          <w:i w:val="1"/>
          <w:sz w:val="24"/>
          <w:szCs w:val="24"/>
          <w:rtl w:val="0"/>
        </w:rPr>
        <w:t xml:space="preserve">// Título // </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Explorando el Proceso de Votación en el Programa de DeepFunding de SingularityNET</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emocionante mundo de la inteligencia artificial descentralizada, SingularityNET se destaca como un líder visionario. Con el objetivo de fomentar la innovación y el desarrollo continuo de proyectos dentro de su ecosistema, SingularityNET ha lanzado el programa DeepFunding. En este blog, exploraremos el fascinante proceso de votación que impulsa este programa y cómo los participantes tienen la oportunidad de dar forma al futuro de la inteligencia artificial.</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Introducción a DeepFunding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DeepFunding es una iniciativa única de SingularityNET diseñada para respaldar proyectos prometedores que utilizan la tecnología de la cadena de bloques y la inteligencia artificial. El programa proporciona recursos financieros y apoyo técnico a proyectos seleccionados a través de un proceso de votación comunitaria, permitiendo que la sabiduría colectiva de la comunidad guíe la toma de decisiones.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Votación Descentralizada: Metodología, Justificación y Análisis del Potencial de Cuadratic Voting en el Programa de DeepFunding de SingularityNET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i w:val="1"/>
          <w:color w:val="374151"/>
          <w:sz w:val="24"/>
          <w:szCs w:val="24"/>
        </w:rPr>
      </w:pPr>
      <w:r w:rsidDel="00000000" w:rsidR="00000000" w:rsidRPr="00000000">
        <w:rPr>
          <w:rFonts w:ascii="Georgia" w:cs="Georgia" w:eastAsia="Georgia" w:hAnsi="Georgia"/>
          <w:i w:val="1"/>
          <w:color w:val="374151"/>
          <w:sz w:val="24"/>
          <w:szCs w:val="24"/>
          <w:rtl w:val="0"/>
        </w:rPr>
        <w:t xml:space="preserve">Metodología de Votación Descentralizada: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SingularityNET ha adoptado una metodología de votación descentralizada para el programa DeepFunding, basada en la propiedad de los tokens AGIX como derechos de voto. Cada titular de tokens AGIX tiene la capacidad de asignar sus votos de manera proporcional a sus intereses y creencias en los proyectos propuestos. Este enfoque brinda una forma justa y transparente de involucrar a la comunidad en la toma de decisiones, asegurando que aquellos con mayores inversiones tengan un mayor impacto, al tiempo que se preserva la voz de los titulares de menor cantidad de tokens.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i w:val="1"/>
          <w:color w:val="374151"/>
          <w:sz w:val="24"/>
          <w:szCs w:val="24"/>
        </w:rPr>
      </w:pPr>
      <w:r w:rsidDel="00000000" w:rsidR="00000000" w:rsidRPr="00000000">
        <w:rPr>
          <w:rFonts w:ascii="Georgia" w:cs="Georgia" w:eastAsia="Georgia" w:hAnsi="Georgia"/>
          <w:i w:val="1"/>
          <w:color w:val="374151"/>
          <w:sz w:val="24"/>
          <w:szCs w:val="24"/>
          <w:rtl w:val="0"/>
        </w:rPr>
        <w:t xml:space="preserve">Justificación de la Metodología:</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La elección de la votación descentralizada se basa en varios principios fundamentales. En primer lugar, fomenta la participación activa de la comunidad, alineando los intereses de los inversores con el éxito a largo plazo de los proyectos financiados. Además, al aprovechar la tecnología blockchain, se garantiza la transparencia y la inmutabilidad de los resultados, evitando cualquier manipulación o malversación de votos.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La descentralización también empodera a la comunidad al permitir que sus decisiones impulsen el curso del desarrollo dentro del ecosistema. En lugar de depender exclusivamente de decisiones centralizadas, la diversidad de opiniones y conocimientos en la comunidad contribuye a una evaluación más holística de las propuestas.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i w:val="1"/>
          <w:color w:val="374151"/>
          <w:sz w:val="24"/>
          <w:szCs w:val="24"/>
        </w:rPr>
      </w:pPr>
      <w:r w:rsidDel="00000000" w:rsidR="00000000" w:rsidRPr="00000000">
        <w:rPr>
          <w:rFonts w:ascii="Georgia" w:cs="Georgia" w:eastAsia="Georgia" w:hAnsi="Georgia"/>
          <w:i w:val="1"/>
          <w:color w:val="374151"/>
          <w:sz w:val="24"/>
          <w:szCs w:val="24"/>
          <w:rtl w:val="0"/>
        </w:rPr>
        <w:t xml:space="preserve">Análisis del Potencial de Cuadratic Voting: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Cuadratic Voting es una metodología de votación innovadora que asigna a los participantes una cantidad específica de votos, pero les permite distribuirlos de manera no lineal. Cuadratic Voting resuelve el problema de la mayoría simple al permitir que los participantes asignen más votos a las propuestas que consideran críticas o que tienen un impacto significativo en sus intereses.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En el contexto de DeepFunding, Cuadratic Voting podría potenciar la capacidad de la comunidad para expresar su preferencia de manera más precisa y estratégica. Al permitir que los votantes asignen más votos a los proyectos que consideran más valiosos, se fomenta una mayor eficiencia en la asignación de recursos y se reduce la posibilidad de que proyectos menos apreciados reciban financiamiento.</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Sin embargo, es importante equilibrar el potencial de Cuadratic Voting con la simplicidad y accesibilidad del proceso. La comprensión y aplicación de Cuadratic Voting pueden ser desafiantes para algunos miembros de la comunidad, lo que podría afectar la participación. Por lo tanto, SingularityNET debe considerar cuidadosamente cómo implementar esta metodología de manera efectiva, educando a la comunidad sobre sus beneficios y simplificando su aplicación en la plataforma.</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 Votación Descentralizada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corazón del proceso de DeepFunding es la votación descentralizada. Los titulares de tokens AGIX (el token nativo de SingularityNET) tienen la oportunidad de ejercer su poder de voto. Cada token AGIX representa una voz en la toma de decisiones, lo que significa que aquellos con mayores inversiones tienen una mayor influencia en la dirección del programa.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 Resultados y Financiamiento</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que la votación ha concluido, se anuncian los resultados y se asignan los fondos a los proyectos ganadores. Estos proyectos reciben el apoyo financiero y técnico necesario para llevar a cabo sus iniciativas, allanando el camino para innovaciones significativas en la inteligencia artificial descentralizada.</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VII. Ciclo Continuo</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proceso de votación en DeepFunding no es un evento único. SingularityNET ha establecido un ciclo continuo para garantizar que la comunidad pueda participar regularmente en la toma de decisiones. Esto fomenta la evolución constante del ecosistema, permitiendo que nuevas ideas y enfoques prosperen.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Conclusión 01</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programa DeepFunding de SingularityNET no solo es una oportunidad para impulsar proyectos prometedores, sino que también representa un modelo pionero de gobernanza comunitaria en el espacio de la inteligencia artificial descentralizada. A medida que la comunidad continúa desempeñando un papel vital en la formación del futuro de SingularityNET, DeepFunding se presenta como un faro brillante que ilumina el camino hacia la innovación y la colaboración en la era de la inteligencia artificial.</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Conclusiones 02</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La metodología de votación descentralizada, respaldada por la propiedad de tokens AGIX y la posibilidad de explorar herramientas como Cuadratic Voting, refleja el compromiso de SingularityNET con la participación comunitaria y la toma de decisiones transparente. Este enfoque no solo fortalece la relación entre la plataforma y su comunidad, sino que también sienta las bases para el desarrollo continuo de proyectos innovadores en el campo de la inteligencia artificial descentralizada.</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 Advertencia de seguridad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Ni SingularityNET, SingularityDAO ni ningún proyecto en nuestro Ecosistema te PEDIRÁ NUNCA tokens, claves de billetera o que conectes tu billetera a algún sitio web extraño. Los estafadores pueden hacerse pasar por el proyecto/administradores/miembros del equipo, NUNCA realices estas acciones incluso si alguien que tiene nuestro nombre y/o semejanza te lo solicita.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sz w:val="24"/>
          <w:szCs w:val="24"/>
        </w:rPr>
      </w:pPr>
      <w:r w:rsidDel="00000000" w:rsidR="00000000" w:rsidRPr="00000000">
        <w:rPr>
          <w:rFonts w:ascii="Georgia" w:cs="Georgia" w:eastAsia="Georgia" w:hAnsi="Georgia"/>
          <w:b w:val="1"/>
          <w:color w:val="374151"/>
          <w:sz w:val="24"/>
          <w:szCs w:val="24"/>
          <w:highlight w:val="white"/>
          <w:rtl w:val="0"/>
        </w:rPr>
        <w:t xml:space="preserve">⚠️Siempre verifica en los canales públicos⚠️</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6">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B">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