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840"/>
        <w:jc w:val="center"/>
      </w:pPr>
      <w:r>
        <w:rPr>
          <w:rFonts w:ascii="Aptos" w:hAnsi="Aptos" w:eastAsia="Aptos"/>
          <w:b/>
          <w:i w:val="0"/>
          <w:color w:val="1A477A"/>
          <w:sz w:val="21"/>
        </w:rPr>
        <w:t>COMP9993 Research Proposal</w:t>
      </w:r>
    </w:p>
    <w:p>
      <w:pPr>
        <w:spacing w:after="200"/>
        <w:jc w:val="center"/>
      </w:pPr>
      <w:r>
        <w:rPr>
          <w:rFonts w:ascii="Aptos" w:hAnsi="Aptos" w:eastAsia="Aptos"/>
          <w:b/>
          <w:i w:val="0"/>
          <w:color w:val="202020"/>
          <w:sz w:val="46"/>
        </w:rPr>
        <w:t>SyncMark: Synchronization-Aware Multi-bit Watermarking</w:t>
      </w:r>
    </w:p>
    <w:p>
      <w:pPr>
        <w:spacing w:after="520"/>
        <w:jc w:val="center"/>
      </w:pPr>
      <w:r>
        <w:rPr>
          <w:rFonts w:ascii="Aptos" w:hAnsi="Aptos" w:eastAsia="Aptos"/>
          <w:b/>
          <w:i w:val="0"/>
          <w:color w:val="1A477A"/>
          <w:sz w:val="36"/>
        </w:rPr>
        <w:t>for Short and Edited LLM Texts</w:t>
      </w:r>
    </w:p>
    <w:p>
      <w:pPr>
        <w:jc w:val="center"/>
        <w:pBdr>
          <w:bottom w:val="single" w:sz="12" w:space="1" w:color="A6B5C5"/>
        </w:pBdr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rPr/>
        <w:tc>
          <w:tcPr>
            <w:tcW w:type="dxa" w:w="2592"/>
            <w:shd w:fill="F7FAFC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60" w:after="60"/>
            </w:pPr>
            <w:r>
              <w:rPr>
                <w:rFonts w:ascii="Aptos" w:hAnsi="Aptos" w:eastAsia="Aptos"/>
                <w:b/>
                <w:i w:val="0"/>
                <w:color w:val="1A477A"/>
                <w:sz w:val="21"/>
              </w:rPr>
              <w:t>Student</w:t>
            </w:r>
          </w:p>
        </w:tc>
        <w:tc>
          <w:tcPr>
            <w:tcW w:type="dxa" w:w="6912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60" w:after="60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21"/>
              </w:rPr>
              <w:t>Zhan Ma (Master of Information Technology, UNSW Sydney)</w:t>
            </w:r>
          </w:p>
        </w:tc>
      </w:tr>
      <w:tr>
        <w:trPr/>
        <w:tc>
          <w:tcPr>
            <w:tcW w:type="dxa" w:w="2592"/>
            <w:shd w:fill="F7FAFC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60" w:after="60"/>
            </w:pPr>
            <w:r>
              <w:rPr>
                <w:rFonts w:ascii="Aptos" w:hAnsi="Aptos" w:eastAsia="Aptos"/>
                <w:b/>
                <w:i w:val="0"/>
                <w:color w:val="1A477A"/>
                <w:sz w:val="21"/>
              </w:rPr>
              <w:t>Project continuity</w:t>
            </w:r>
          </w:p>
        </w:tc>
        <w:tc>
          <w:tcPr>
            <w:tcW w:type="dxa" w:w="6912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60" w:after="60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21"/>
              </w:rPr>
              <w:t>Built directly from the completed COMP9991 report and its negative findings</w:t>
            </w:r>
          </w:p>
        </w:tc>
      </w:tr>
      <w:tr>
        <w:trPr/>
        <w:tc>
          <w:tcPr>
            <w:tcW w:type="dxa" w:w="2592"/>
            <w:shd w:fill="F7FAFC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60" w:after="60"/>
            </w:pPr>
            <w:r>
              <w:rPr>
                <w:rFonts w:ascii="Aptos" w:hAnsi="Aptos" w:eastAsia="Aptos"/>
                <w:b/>
                <w:i w:val="0"/>
                <w:color w:val="1A477A"/>
                <w:sz w:val="21"/>
              </w:rPr>
              <w:t>Proposed 9993 direction</w:t>
            </w:r>
          </w:p>
        </w:tc>
        <w:tc>
          <w:tcPr>
            <w:tcW w:type="dxa" w:w="6912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60" w:after="60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21"/>
              </w:rPr>
              <w:t>Autoregressive LLM text watermarking with synchronization-aware outer coding</w:t>
            </w:r>
          </w:p>
        </w:tc>
      </w:tr>
      <w:tr>
        <w:trPr/>
        <w:tc>
          <w:tcPr>
            <w:tcW w:type="dxa" w:w="2592"/>
            <w:shd w:fill="F7FAFC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60" w:after="60"/>
            </w:pPr>
            <w:r>
              <w:rPr>
                <w:rFonts w:ascii="Aptos" w:hAnsi="Aptos" w:eastAsia="Aptos"/>
                <w:b/>
                <w:i w:val="0"/>
                <w:color w:val="1A477A"/>
                <w:sz w:val="21"/>
              </w:rPr>
              <w:t>Primary ambition</w:t>
            </w:r>
          </w:p>
        </w:tc>
        <w:tc>
          <w:tcPr>
            <w:tcW w:type="dxa" w:w="6912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60" w:after="60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21"/>
              </w:rPr>
              <w:t>A thesis-ready system and a paper-quality benchmark on short-text robustness</w:t>
            </w:r>
          </w:p>
        </w:tc>
      </w:tr>
      <w:tr>
        <w:trPr/>
        <w:tc>
          <w:tcPr>
            <w:tcW w:type="dxa" w:w="2592"/>
            <w:shd w:fill="F7FAFC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60" w:after="60"/>
            </w:pPr>
            <w:r>
              <w:rPr>
                <w:rFonts w:ascii="Aptos" w:hAnsi="Aptos" w:eastAsia="Aptos"/>
                <w:b/>
                <w:i w:val="0"/>
                <w:color w:val="1A477A"/>
                <w:sz w:val="21"/>
              </w:rPr>
              <w:t>Date</w:t>
            </w:r>
          </w:p>
        </w:tc>
        <w:tc>
          <w:tcPr>
            <w:tcW w:type="dxa" w:w="6912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60" w:after="60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21"/>
              </w:rPr>
              <w:t>13 April 2026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fill="EDF3F8"/>
            <w:tcBorders>
              <w:top w:sz="10" w:val="single" w:color="C9D6E2" w:space="0"/>
              <w:left w:sz="10" w:val="single" w:color="C9D6E2" w:space="0"/>
              <w:bottom w:sz="10" w:val="single" w:color="C9D6E2" w:space="0"/>
              <w:right w:sz="10" w:val="single" w:color="C9D6E2" w:space="0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1A477A"/>
                <w:sz w:val="23"/>
              </w:rPr>
              <w:t>Executive summary</w:t>
            </w:r>
          </w:p>
          <w:p>
            <w:pPr>
              <w:spacing w:after="0" w:line="269" w:lineRule="auto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21"/>
              </w:rPr>
              <w:t>The proposal argues that the main failure mode of short-text multi-bit watermarking is not only raw bit corruption but also synchronization loss caused by insertion, deletion, and tokenization drift. It proposes SyncMark, an outer framing and alignment-decoding layer designed to sit on top of an existing inner watermark such as BiMark. The 9993 goal is to convert the negative findings of COMP9991 into a publishable positive contribution: a realistic benchmark and a synchronization-aware recovery method for short and edited LLM outputs.</w:t>
            </w:r>
          </w:p>
        </w:tc>
      </w:tr>
    </w:tbl>
    <w:p>
      <w:r>
        <w:br w:type="page"/>
      </w:r>
    </w:p>
    <w:p>
      <w:pPr>
        <w:pStyle w:val="Heading1"/>
        <w:spacing w:before="200" w:after="80"/>
      </w:pPr>
      <w:r>
        <w:t>1. Motivation and problem statement</w:t>
      </w:r>
    </w:p>
    <w:p>
      <w:pPr>
        <w:spacing w:after="120" w:line="240" w:lineRule="auto"/>
      </w:pPr>
      <w:r>
        <w:rPr>
          <w:rFonts w:ascii="Aptos" w:hAnsi="Aptos" w:eastAsia="Aptos"/>
          <w:b w:val="0"/>
          <w:i w:val="0"/>
          <w:color w:val="202020"/>
          <w:sz w:val="21"/>
        </w:rPr>
        <w:t>The completed COMP9991 stage established an important negative result: in short texts, simply layering ordinary ECC on top of a multi-bit watermark can reduce recovery rather than improve it. That observation should not be treated as failure. Instead, it should be treated as evidence that the dominant bottleneck was mis-specified.</w:t>
      </w:r>
    </w:p>
    <w:p>
      <w:pPr>
        <w:spacing w:after="120" w:line="240" w:lineRule="auto"/>
      </w:pPr>
      <w:r>
        <w:rPr>
          <w:rFonts w:ascii="Aptos" w:hAnsi="Aptos" w:eastAsia="Aptos"/>
          <w:b w:val="0"/>
          <w:i w:val="0"/>
          <w:color w:val="202020"/>
          <w:sz w:val="21"/>
        </w:rPr>
        <w:t>This proposal argues that post-generation edits should be modeled as a synchronization problem. Real edits do not only flip local bits; they also insert, delete, and retokenize parts of the text, causing downstream position drift. The 9993 project will therefore focus on a synchronization-aware outer layer for short-text multi-bit watermarking.</w:t>
      </w:r>
    </w:p>
    <w:p>
      <w:pPr>
        <w:pStyle w:val="Heading1"/>
        <w:spacing w:before="200" w:after="80"/>
      </w:pPr>
      <w:r>
        <w:t>2. Core hypothesis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b w:val="0"/>
          <w:i w:val="0"/>
          <w:color w:val="202020"/>
          <w:sz w:val="21"/>
        </w:rPr>
        <w:t>Under insertion/deletion and character-level perturbations, exact message recovery fails largely because the decoder loses alignment between observed local signals and original bit positions.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b w:val="0"/>
          <w:i w:val="0"/>
          <w:color w:val="202020"/>
          <w:sz w:val="21"/>
        </w:rPr>
        <w:t>Redundancy is therefore more useful when some of it is allocated to synchronization anchors rather than only to ordinary parity bits.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b w:val="0"/>
          <w:i w:val="0"/>
          <w:color w:val="202020"/>
          <w:sz w:val="21"/>
        </w:rPr>
        <w:t>A synchronization-aware outer decoder should improve exact recovery in the 100-300 token regime while remaining compatible with existing inner watermarking schemes such as BiMark.</w:t>
      </w:r>
    </w:p>
    <w:p>
      <w:pPr>
        <w:pStyle w:val="Heading1"/>
        <w:spacing w:before="200" w:after="80"/>
      </w:pPr>
      <w:r>
        <w:t>Method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1728"/>
            <w:shd w:fill="EAF1F7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A477A"/>
                <w:sz w:val="20"/>
              </w:rPr>
              <w:t>Component</w:t>
            </w:r>
          </w:p>
        </w:tc>
        <w:tc>
          <w:tcPr>
            <w:tcW w:type="dxa" w:w="2448"/>
            <w:shd w:fill="EAF1F7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A477A"/>
                <w:sz w:val="20"/>
              </w:rPr>
              <w:t>Role</w:t>
            </w:r>
          </w:p>
        </w:tc>
        <w:tc>
          <w:tcPr>
            <w:tcW w:type="dxa" w:w="2880"/>
            <w:shd w:fill="EAF1F7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A477A"/>
                <w:sz w:val="20"/>
              </w:rPr>
              <w:t>Why it is needed</w:t>
            </w:r>
          </w:p>
        </w:tc>
        <w:tc>
          <w:tcPr>
            <w:tcW w:type="dxa" w:w="2304"/>
            <w:shd w:fill="EAF1F7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A477A"/>
                <w:sz w:val="20"/>
              </w:rPr>
              <w:t>Connection to prior work</w:t>
            </w:r>
          </w:p>
        </w:tc>
      </w:tr>
      <w:tr>
        <w:tc>
          <w:tcPr>
            <w:tcW w:type="dxa" w:w="1728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Inner watermark</w:t>
            </w:r>
          </w:p>
        </w:tc>
        <w:tc>
          <w:tcPr>
            <w:tcW w:type="dxa" w:w="2448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Produce local bit evidence at each token</w:t>
            </w:r>
          </w:p>
        </w:tc>
        <w:tc>
          <w:tcPr>
            <w:tcW w:type="dxa" w:w="2880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Keeps the system grounded in existing watermarking practice</w:t>
            </w:r>
          </w:p>
        </w:tc>
        <w:tc>
          <w:tcPr>
            <w:tcW w:type="dxa" w:w="2304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BiMark is the preferred inner baseline</w:t>
            </w:r>
          </w:p>
        </w:tc>
      </w:tr>
      <w:tr>
        <w:tc>
          <w:tcPr>
            <w:tcW w:type="dxa" w:w="1728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Cycle-unique anchors</w:t>
            </w:r>
          </w:p>
        </w:tc>
        <w:tc>
          <w:tcPr>
            <w:tcW w:type="dxa" w:w="2448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Re-lock the decoder after edits</w:t>
            </w:r>
          </w:p>
        </w:tc>
        <w:tc>
          <w:tcPr>
            <w:tcW w:type="dxa" w:w="2880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Turns global drift into local damage</w:t>
            </w:r>
          </w:p>
        </w:tc>
        <w:tc>
          <w:tcPr>
            <w:tcW w:type="dxa" w:w="2304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Direct response to insertion/deletion and char-level attacks</w:t>
            </w:r>
          </w:p>
        </w:tc>
      </w:tr>
      <w:tr>
        <w:tc>
          <w:tcPr>
            <w:tcW w:type="dxa" w:w="1728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Alignment decoder</w:t>
            </w:r>
          </w:p>
        </w:tc>
        <w:tc>
          <w:tcPr>
            <w:tcW w:type="dxa" w:w="2448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Map noisy observed bits back to payload slots</w:t>
            </w:r>
          </w:p>
        </w:tc>
        <w:tc>
          <w:tcPr>
            <w:tcW w:type="dxa" w:w="2880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Handles synchronization explicitly rather than implicitly</w:t>
            </w:r>
          </w:p>
        </w:tc>
        <w:tc>
          <w:tcPr>
            <w:tcW w:type="dxa" w:w="2304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Brings coding-theoretic structure beyond naive ECC</w:t>
            </w:r>
          </w:p>
        </w:tc>
      </w:tr>
      <w:tr>
        <w:tc>
          <w:tcPr>
            <w:tcW w:type="dxa" w:w="1728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Checksum / validity test</w:t>
            </w:r>
          </w:p>
        </w:tc>
        <w:tc>
          <w:tcPr>
            <w:tcW w:type="dxa" w:w="2448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Reject implausible payloads</w:t>
            </w:r>
          </w:p>
        </w:tc>
        <w:tc>
          <w:tcPr>
            <w:tcW w:type="dxa" w:w="2880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Prevents fragile near-miss decodes from being over-counted</w:t>
            </w:r>
          </w:p>
        </w:tc>
        <w:tc>
          <w:tcPr>
            <w:tcW w:type="dxa" w:w="2304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Compatible with any inner scheme</w:t>
            </w:r>
          </w:p>
        </w:tc>
      </w:tr>
    </w:tbl>
    <w:p/>
    <w:p>
      <w:pPr>
        <w:pStyle w:val="Heading1"/>
        <w:spacing w:before="200" w:after="80"/>
      </w:pPr>
      <w:r>
        <w:t>3. Proposed method: SyncMark</w:t>
      </w:r>
    </w:p>
    <w:p>
      <w:pPr>
        <w:pStyle w:val="ListNumber"/>
        <w:spacing w:after="40" w:line="259" w:lineRule="auto"/>
      </w:pPr>
      <w:r>
        <w:rPr>
          <w:rFonts w:ascii="Aptos" w:hAnsi="Aptos" w:eastAsia="Aptos"/>
          <w:b w:val="0"/>
          <w:i w:val="0"/>
          <w:color w:val="202020"/>
          <w:sz w:val="21"/>
        </w:rPr>
        <w:t>Append a lightweight checksum to the payload message and repeat the protected payload across multiple short cycles.</w:t>
      </w:r>
    </w:p>
    <w:p>
      <w:pPr>
        <w:pStyle w:val="ListNumber"/>
        <w:spacing w:after="40" w:line="259" w:lineRule="auto"/>
      </w:pPr>
      <w:r>
        <w:rPr>
          <w:rFonts w:ascii="Aptos" w:hAnsi="Aptos" w:eastAsia="Aptos"/>
          <w:b w:val="0"/>
          <w:i w:val="0"/>
          <w:color w:val="202020"/>
          <w:sz w:val="21"/>
        </w:rPr>
        <w:t>Insert a cycle-unique anchor sequence at the beginning of each cycle using a keyed pseudo-random generator.</w:t>
      </w:r>
    </w:p>
    <w:p>
      <w:pPr>
        <w:pStyle w:val="ListNumber"/>
        <w:spacing w:after="40" w:line="259" w:lineRule="auto"/>
      </w:pPr>
      <w:r>
        <w:rPr>
          <w:rFonts w:ascii="Aptos" w:hAnsi="Aptos" w:eastAsia="Aptos"/>
          <w:b w:val="0"/>
          <w:i w:val="0"/>
          <w:color w:val="202020"/>
          <w:sz w:val="21"/>
        </w:rPr>
        <w:t>Use an inner watermark to bias token generation toward the next target bit in the anchor+payload stream.</w:t>
      </w:r>
    </w:p>
    <w:p>
      <w:pPr>
        <w:pStyle w:val="ListNumber"/>
        <w:spacing w:after="40" w:line="259" w:lineRule="auto"/>
      </w:pPr>
      <w:r>
        <w:rPr>
          <w:rFonts w:ascii="Aptos" w:hAnsi="Aptos" w:eastAsia="Aptos"/>
          <w:b w:val="0"/>
          <w:i w:val="0"/>
          <w:color w:val="202020"/>
          <w:sz w:val="21"/>
        </w:rPr>
        <w:t>At detection time, first align the observed noisy bit stream to the expected layout using a dynamic-programming decoder with strong anchor rewards and gap penalties.</w:t>
      </w:r>
    </w:p>
    <w:p>
      <w:pPr>
        <w:pStyle w:val="ListNumber"/>
        <w:spacing w:after="40" w:line="259" w:lineRule="auto"/>
      </w:pPr>
      <w:r>
        <w:rPr>
          <w:rFonts w:ascii="Aptos" w:hAnsi="Aptos" w:eastAsia="Aptos"/>
          <w:b w:val="0"/>
          <w:i w:val="0"/>
          <w:color w:val="202020"/>
          <w:sz w:val="21"/>
        </w:rPr>
        <w:t>Aggregate aligned payload observations by message index and recover the final message with majority voting plus checksum validation.</w:t>
      </w:r>
    </w:p>
    <w:p>
      <w:pPr>
        <w:spacing w:after="120" w:line="240" w:lineRule="auto"/>
      </w:pPr>
      <w:r>
        <w:rPr>
          <w:rFonts w:ascii="Aptos" w:hAnsi="Aptos" w:eastAsia="Aptos"/>
          <w:b w:val="0"/>
          <w:i w:val="0"/>
          <w:color w:val="202020"/>
          <w:sz w:val="21"/>
        </w:rPr>
        <w:t>The key novelty is not a larger codeword. The novelty is that the outer code explicitly separates “recover alignment” from “recover payload”. This turns a single local edit from a global decoding disaster into a localized disturbance that the decoder can often contain.</w:t>
      </w:r>
    </w:p>
    <w:p>
      <w:pPr>
        <w:pStyle w:val="Heading1"/>
        <w:spacing w:before="200" w:after="80"/>
      </w:pPr>
      <w:r>
        <w:t>4. Why this is better matched to the current literature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b w:val="0"/>
          <w:i w:val="0"/>
          <w:color w:val="202020"/>
          <w:sz w:val="21"/>
        </w:rPr>
        <w:t>BiMark provides continuity with the 9991 codebase and remains a strong short-text multi-bit baseline.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b w:val="0"/>
          <w:i w:val="0"/>
          <w:color w:val="202020"/>
          <w:sz w:val="21"/>
        </w:rPr>
        <w:t>DERMARK, MirrorMark, and XMark all signal that the field has moved toward finite-length capacity allocation, higher reliability, and stronger multi-bit design rather than naive payload expansion.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b w:val="0"/>
          <w:i w:val="0"/>
          <w:color w:val="202020"/>
          <w:sz w:val="21"/>
        </w:rPr>
        <w:t>Recent attack work shows that character-level perturbations and adaptive removal attacks must be treated as first-class robustness tests.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b w:val="0"/>
          <w:i w:val="0"/>
          <w:color w:val="202020"/>
          <w:sz w:val="21"/>
        </w:rPr>
        <w:t>Diffusion-language-model watermarking is advancing quickly, so it should be treated as a stretch goal rather than the main 9993 path unless the autoregressive study is already complete.</w:t>
      </w:r>
    </w:p>
    <w:p>
      <w:pPr>
        <w:pStyle w:val="Heading1"/>
        <w:spacing w:before="200" w:after="80"/>
      </w:pPr>
      <w:r>
        <w:t>Planned experiment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1728"/>
            <w:shd w:fill="EAF1F7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A477A"/>
                <w:sz w:val="20"/>
              </w:rPr>
              <w:t>Dimension</w:t>
            </w:r>
          </w:p>
        </w:tc>
        <w:tc>
          <w:tcPr>
            <w:tcW w:type="dxa" w:w="3168"/>
            <w:shd w:fill="EAF1F7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A477A"/>
                <w:sz w:val="20"/>
              </w:rPr>
              <w:t>Primary settings</w:t>
            </w:r>
          </w:p>
        </w:tc>
        <w:tc>
          <w:tcPr>
            <w:tcW w:type="dxa" w:w="2160"/>
            <w:shd w:fill="EAF1F7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A477A"/>
                <w:sz w:val="20"/>
              </w:rPr>
              <w:t>Main output</w:t>
            </w:r>
          </w:p>
        </w:tc>
        <w:tc>
          <w:tcPr>
            <w:tcW w:type="dxa" w:w="2448"/>
            <w:shd w:fill="EAF1F7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A477A"/>
                <w:sz w:val="20"/>
              </w:rPr>
              <w:t>Decision criterion</w:t>
            </w:r>
          </w:p>
        </w:tc>
      </w:tr>
      <w:tr>
        <w:tc>
          <w:tcPr>
            <w:tcW w:type="dxa" w:w="1728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Payload</w:t>
            </w:r>
          </w:p>
        </w:tc>
        <w:tc>
          <w:tcPr>
            <w:tcW w:type="dxa" w:w="3168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8 / 16 / 32 bits</w:t>
            </w:r>
          </w:p>
        </w:tc>
        <w:tc>
          <w:tcPr>
            <w:tcW w:type="dxa" w:w="2160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Bit accuracy, exact recovery</w:t>
            </w:r>
          </w:p>
        </w:tc>
        <w:tc>
          <w:tcPr>
            <w:tcW w:type="dxa" w:w="2448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Method must remain usable at 16-32 bits</w:t>
            </w:r>
          </w:p>
        </w:tc>
      </w:tr>
      <w:tr>
        <w:tc>
          <w:tcPr>
            <w:tcW w:type="dxa" w:w="1728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Length</w:t>
            </w:r>
          </w:p>
        </w:tc>
        <w:tc>
          <w:tcPr>
            <w:tcW w:type="dxa" w:w="3168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100 / 150 / 200 / 300 tokens</w:t>
            </w:r>
          </w:p>
        </w:tc>
        <w:tc>
          <w:tcPr>
            <w:tcW w:type="dxa" w:w="2160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Short-text recovery curve</w:t>
            </w:r>
          </w:p>
        </w:tc>
        <w:tc>
          <w:tcPr>
            <w:tcW w:type="dxa" w:w="2448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Main gains should appear in 100-300 tokens</w:t>
            </w:r>
          </w:p>
        </w:tc>
      </w:tr>
      <w:tr>
        <w:tc>
          <w:tcPr>
            <w:tcW w:type="dxa" w:w="1728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Attacks</w:t>
            </w:r>
          </w:p>
        </w:tc>
        <w:tc>
          <w:tcPr>
            <w:tcW w:type="dxa" w:w="3168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token del/ins/sub, paraphrase, char-level</w:t>
            </w:r>
          </w:p>
        </w:tc>
        <w:tc>
          <w:tcPr>
            <w:tcW w:type="dxa" w:w="2160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Robustness table</w:t>
            </w:r>
          </w:p>
        </w:tc>
        <w:tc>
          <w:tcPr>
            <w:tcW w:type="dxa" w:w="2448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Character-level attacks must be in main results</w:t>
            </w:r>
          </w:p>
        </w:tc>
      </w:tr>
      <w:tr>
        <w:tc>
          <w:tcPr>
            <w:tcW w:type="dxa" w:w="1728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Quality</w:t>
            </w:r>
          </w:p>
        </w:tc>
        <w:tc>
          <w:tcPr>
            <w:tcW w:type="dxa" w:w="3168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PPL and optional judge score</w:t>
            </w:r>
          </w:p>
        </w:tc>
        <w:tc>
          <w:tcPr>
            <w:tcW w:type="dxa" w:w="2160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Quality-vs-robustness trade-off</w:t>
            </w:r>
          </w:p>
        </w:tc>
        <w:tc>
          <w:tcPr>
            <w:tcW w:type="dxa" w:w="2448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Improvement must not come from severe quality collapse</w:t>
            </w:r>
          </w:p>
        </w:tc>
      </w:tr>
      <w:tr>
        <w:tc>
          <w:tcPr>
            <w:tcW w:type="dxa" w:w="1728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Baselines</w:t>
            </w:r>
          </w:p>
        </w:tc>
        <w:tc>
          <w:tcPr>
            <w:tcW w:type="dxa" w:w="3168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BiMark, BiMark+ECC, XMark, DERMARK, MajorMark, MirrorMark</w:t>
            </w:r>
          </w:p>
        </w:tc>
        <w:tc>
          <w:tcPr>
            <w:tcW w:type="dxa" w:w="2160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Comparative benchmark</w:t>
            </w:r>
          </w:p>
        </w:tc>
        <w:tc>
          <w:tcPr>
            <w:tcW w:type="dxa" w:w="2448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At minimum beat BiMark+naive ECC convincingly</w:t>
            </w:r>
          </w:p>
        </w:tc>
      </w:tr>
    </w:tbl>
    <w:p/>
    <w:p>
      <w:pPr>
        <w:pStyle w:val="Heading1"/>
        <w:spacing w:before="200" w:after="80"/>
      </w:pPr>
      <w:r>
        <w:t>5. Risk assessment and mitigation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b w:val="0"/>
          <w:i w:val="0"/>
          <w:color w:val="202020"/>
          <w:sz w:val="21"/>
        </w:rPr>
        <w:t>Risk: gains appear only in synthetic experiments. Mitigation: keep the synthetic simulator as a design-checking tool, then move quickly to full LLM experiments.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b w:val="0"/>
          <w:i w:val="0"/>
          <w:color w:val="202020"/>
          <w:sz w:val="21"/>
        </w:rPr>
        <w:t>Risk: the reference inner watermark is too simple. Mitigation: treat the simple inner layer only as a scaffold and integrate the outer layer with BiMark early.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b w:val="0"/>
          <w:i w:val="0"/>
          <w:color w:val="202020"/>
          <w:sz w:val="21"/>
        </w:rPr>
        <w:t>Risk: quality degrades if every token is marked. Mitigation: the final thesis system should use a lower-distortion inner marker and compare under matched quality budgets.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b w:val="0"/>
          <w:i w:val="0"/>
          <w:color w:val="202020"/>
          <w:sz w:val="21"/>
        </w:rPr>
        <w:t>Risk: baselines are expensive to reproduce. Mitigation: prioritize BiMark, BiMark+naive ECC, and XMark first; add DERMARK/MajorMark/MirrorMark as compute permits.</w:t>
      </w:r>
    </w:p>
    <w:p>
      <w:pPr>
        <w:pStyle w:val="Heading1"/>
        <w:spacing w:before="200" w:after="80"/>
      </w:pPr>
      <w:r>
        <w:t>6. Expected contribution and publication path</w:t>
      </w:r>
    </w:p>
    <w:p>
      <w:pPr>
        <w:spacing w:after="120" w:line="240" w:lineRule="auto"/>
      </w:pPr>
      <w:r>
        <w:rPr>
          <w:rFonts w:ascii="Aptos" w:hAnsi="Aptos" w:eastAsia="Aptos"/>
          <w:b w:val="0"/>
          <w:i w:val="0"/>
          <w:color w:val="202020"/>
          <w:sz w:val="21"/>
        </w:rPr>
        <w:t>A successful outcome would deliver three things: (i) a realistic short-text benchmark with insertion/deletion and character-level attacks, (ii) a synchronization-aware recovery mechanism that clearly beats naive ECC in the same regime, and (iii) a paper-ready empirical story explaining why short-text failure is driven by synchronization loss. The most realistic target is an ARR / Findings-style NLP submission, with watermarking or trustworthy-AI workshops as a backup path.</w:t>
      </w:r>
    </w:p>
    <w:p>
      <w:pPr>
        <w:pStyle w:val="Heading1"/>
        <w:spacing w:before="200" w:after="80"/>
      </w:pPr>
      <w:r>
        <w:t>12-week work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1440"/>
            <w:shd w:fill="EAF1F7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A477A"/>
                <w:sz w:val="20"/>
              </w:rPr>
              <w:t>Weeks</w:t>
            </w:r>
          </w:p>
        </w:tc>
        <w:tc>
          <w:tcPr>
            <w:tcW w:type="dxa" w:w="4464"/>
            <w:shd w:fill="EAF1F7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A477A"/>
                <w:sz w:val="20"/>
              </w:rPr>
              <w:t>Main task</w:t>
            </w:r>
          </w:p>
        </w:tc>
        <w:tc>
          <w:tcPr>
            <w:tcW w:type="dxa" w:w="2160"/>
            <w:shd w:fill="EAF1F7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A477A"/>
                <w:sz w:val="20"/>
              </w:rPr>
              <w:t>Deliverable</w:t>
            </w:r>
          </w:p>
        </w:tc>
      </w:tr>
      <w:tr>
        <w:tc>
          <w:tcPr>
            <w:tcW w:type="dxa" w:w="1440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1-2</w:t>
            </w:r>
          </w:p>
        </w:tc>
        <w:tc>
          <w:tcPr>
            <w:tcW w:type="dxa" w:w="4464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Clean BiMark reproduction, confirm 9991 baseline, run synthetic SyncMark validation</w:t>
            </w:r>
          </w:p>
        </w:tc>
        <w:tc>
          <w:tcPr>
            <w:tcW w:type="dxa" w:w="2160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reproducible baseline + preview plots</w:t>
            </w:r>
          </w:p>
        </w:tc>
      </w:tr>
      <w:tr>
        <w:tc>
          <w:tcPr>
            <w:tcW w:type="dxa" w:w="1440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3-4</w:t>
            </w:r>
          </w:p>
        </w:tc>
        <w:tc>
          <w:tcPr>
            <w:tcW w:type="dxa" w:w="4464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Implement outer framing and alignment decoder on top of a simple reference inner watermark</w:t>
            </w:r>
          </w:p>
        </w:tc>
        <w:tc>
          <w:tcPr>
            <w:tcW w:type="dxa" w:w="2160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working end-to-end prototype</w:t>
            </w:r>
          </w:p>
        </w:tc>
      </w:tr>
      <w:tr>
        <w:tc>
          <w:tcPr>
            <w:tcW w:type="dxa" w:w="1440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5-7</w:t>
            </w:r>
          </w:p>
        </w:tc>
        <w:tc>
          <w:tcPr>
            <w:tcW w:type="dxa" w:w="4464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Integrate SyncMark with BiMark inner layer; run token-level edit benchmarks</w:t>
            </w:r>
          </w:p>
        </w:tc>
        <w:tc>
          <w:tcPr>
            <w:tcW w:type="dxa" w:w="2160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main robustness tables v1</w:t>
            </w:r>
          </w:p>
        </w:tc>
      </w:tr>
      <w:tr>
        <w:tc>
          <w:tcPr>
            <w:tcW w:type="dxa" w:w="1440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8-9</w:t>
            </w:r>
          </w:p>
        </w:tc>
        <w:tc>
          <w:tcPr>
            <w:tcW w:type="dxa" w:w="4464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Run character-level and paraphrase attacks; perform ablations</w:t>
            </w:r>
          </w:p>
        </w:tc>
        <w:tc>
          <w:tcPr>
            <w:tcW w:type="dxa" w:w="2160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attack suite + ablation section</w:t>
            </w:r>
          </w:p>
        </w:tc>
      </w:tr>
      <w:tr>
        <w:tc>
          <w:tcPr>
            <w:tcW w:type="dxa" w:w="1440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10-11</w:t>
            </w:r>
          </w:p>
        </w:tc>
        <w:tc>
          <w:tcPr>
            <w:tcW w:type="dxa" w:w="4464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Compare against XMark/DERMARK/MajorMark/MirrorMark as compute permits</w:t>
            </w:r>
          </w:p>
        </w:tc>
        <w:tc>
          <w:tcPr>
            <w:tcW w:type="dxa" w:w="2160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comparison plots and discussion</w:t>
            </w:r>
          </w:p>
        </w:tc>
      </w:tr>
      <w:tr>
        <w:tc>
          <w:tcPr>
            <w:tcW w:type="dxa" w:w="1440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12</w:t>
            </w:r>
          </w:p>
        </w:tc>
        <w:tc>
          <w:tcPr>
            <w:tcW w:type="dxa" w:w="4464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Write thesis chapter / paper draft and prepare supervisor-facing summary</w:t>
            </w:r>
          </w:p>
        </w:tc>
        <w:tc>
          <w:tcPr>
            <w:tcW w:type="dxa" w:w="2160"/>
            <w:tcBorders>
              <w:top w:sz="6" w:val="single" w:color="D9E2EC" w:space="0"/>
              <w:left w:sz="6" w:val="single" w:color="D9E2EC" w:space="0"/>
              <w:bottom w:sz="6" w:val="single" w:color="D9E2EC" w:space="0"/>
              <w:right w:sz="6" w:val="single" w:color="D9E2EC" w:space="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ptos" w:hAnsi="Aptos" w:eastAsia="Aptos"/>
                <w:b w:val="0"/>
                <w:i w:val="0"/>
                <w:color w:val="202020"/>
                <w:sz w:val="19"/>
              </w:rPr>
              <w:t>submission-ready draft</w:t>
            </w:r>
          </w:p>
        </w:tc>
      </w:tr>
    </w:tbl>
    <w:p/>
    <w:p>
      <w:pPr>
        <w:pStyle w:val="Heading1"/>
        <w:spacing w:before="200" w:after="80"/>
      </w:pPr>
      <w:r>
        <w:t>Selected references</w:t>
      </w:r>
    </w:p>
    <w:p>
      <w:pPr>
        <w:pStyle w:val="ListBullet"/>
        <w:spacing w:after="20" w:line="247" w:lineRule="auto"/>
      </w:pPr>
      <w:r>
        <w:rPr>
          <w:rFonts w:ascii="Aptos" w:hAnsi="Aptos" w:eastAsia="Aptos"/>
          <w:b w:val="0"/>
          <w:i w:val="0"/>
          <w:color w:val="586069"/>
          <w:sz w:val="19"/>
        </w:rPr>
        <w:t>Kirchenbauer et al. A Watermark for Large Language Models. ICML 2023.</w:t>
      </w:r>
    </w:p>
    <w:p>
      <w:pPr>
        <w:pStyle w:val="ListBullet"/>
        <w:spacing w:after="20" w:line="247" w:lineRule="auto"/>
      </w:pPr>
      <w:r>
        <w:rPr>
          <w:rFonts w:ascii="Aptos" w:hAnsi="Aptos" w:eastAsia="Aptos"/>
          <w:b w:val="0"/>
          <w:i w:val="0"/>
          <w:color w:val="586069"/>
          <w:sz w:val="19"/>
        </w:rPr>
        <w:t>Hu et al. Unbiased Watermark for Large Language Models. 2023.</w:t>
      </w:r>
    </w:p>
    <w:p>
      <w:pPr>
        <w:pStyle w:val="ListBullet"/>
        <w:spacing w:after="20" w:line="247" w:lineRule="auto"/>
      </w:pPr>
      <w:r>
        <w:rPr>
          <w:rFonts w:ascii="Aptos" w:hAnsi="Aptos" w:eastAsia="Aptos"/>
          <w:b w:val="0"/>
          <w:i w:val="0"/>
          <w:color w:val="586069"/>
          <w:sz w:val="19"/>
        </w:rPr>
        <w:t>Wu et al. A Resilient and Accessible Distribution-Preserving Watermark for Large Language Models. ICML 2024.</w:t>
      </w:r>
    </w:p>
    <w:p>
      <w:pPr>
        <w:pStyle w:val="ListBullet"/>
        <w:spacing w:after="20" w:line="247" w:lineRule="auto"/>
      </w:pPr>
      <w:r>
        <w:rPr>
          <w:rFonts w:ascii="Aptos" w:hAnsi="Aptos" w:eastAsia="Aptos"/>
          <w:b w:val="0"/>
          <w:i w:val="0"/>
          <w:color w:val="586069"/>
          <w:sz w:val="19"/>
        </w:rPr>
        <w:t>Qu et al. Provably Robust Multi-bit Watermarking for AI-generated Text. USENIX Security 2025.</w:t>
      </w:r>
    </w:p>
    <w:p>
      <w:pPr>
        <w:pStyle w:val="ListBullet"/>
        <w:spacing w:after="20" w:line="247" w:lineRule="auto"/>
      </w:pPr>
      <w:r>
        <w:rPr>
          <w:rFonts w:ascii="Aptos" w:hAnsi="Aptos" w:eastAsia="Aptos"/>
          <w:b w:val="0"/>
          <w:i w:val="0"/>
          <w:color w:val="586069"/>
          <w:sz w:val="19"/>
        </w:rPr>
        <w:t>Chao et al. Watermarking Language Models with Error Correcting Codes. WMARK@ICLR 2025 / TMLR under review in 2026.</w:t>
      </w:r>
    </w:p>
    <w:p>
      <w:pPr>
        <w:pStyle w:val="ListBullet"/>
        <w:spacing w:after="20" w:line="247" w:lineRule="auto"/>
      </w:pPr>
      <w:r>
        <w:rPr>
          <w:rFonts w:ascii="Aptos" w:hAnsi="Aptos" w:eastAsia="Aptos"/>
          <w:b w:val="0"/>
          <w:i w:val="0"/>
          <w:color w:val="586069"/>
          <w:sz w:val="19"/>
        </w:rPr>
        <w:t>Feng et al. BiMark: Unbiased Multilayer Watermarking for Large Language Models. ICML 2025.</w:t>
      </w:r>
    </w:p>
    <w:p>
      <w:pPr>
        <w:pStyle w:val="ListBullet"/>
        <w:spacing w:after="20" w:line="247" w:lineRule="auto"/>
      </w:pPr>
      <w:r>
        <w:rPr>
          <w:rFonts w:ascii="Aptos" w:hAnsi="Aptos" w:eastAsia="Aptos"/>
          <w:b w:val="0"/>
          <w:i w:val="0"/>
          <w:color w:val="586069"/>
          <w:sz w:val="19"/>
        </w:rPr>
        <w:t>Lin et al. DERMARK: A Dynamic, Efficient and Robust Multi-bit Watermark for Large Language Models. 2025.</w:t>
      </w:r>
    </w:p>
    <w:p>
      <w:pPr>
        <w:pStyle w:val="ListBullet"/>
        <w:spacing w:after="20" w:line="247" w:lineRule="auto"/>
      </w:pPr>
      <w:r>
        <w:rPr>
          <w:rFonts w:ascii="Aptos" w:hAnsi="Aptos" w:eastAsia="Aptos"/>
          <w:b w:val="0"/>
          <w:i w:val="0"/>
          <w:color w:val="586069"/>
          <w:sz w:val="19"/>
        </w:rPr>
        <w:t>Xu et al. Majority Bit-Aware Watermarking for Large Language Models. 2025.</w:t>
      </w:r>
    </w:p>
    <w:p>
      <w:pPr>
        <w:pStyle w:val="ListBullet"/>
        <w:spacing w:after="20" w:line="247" w:lineRule="auto"/>
      </w:pPr>
      <w:r>
        <w:rPr>
          <w:rFonts w:ascii="Aptos" w:hAnsi="Aptos" w:eastAsia="Aptos"/>
          <w:b w:val="0"/>
          <w:i w:val="0"/>
          <w:color w:val="586069"/>
          <w:sz w:val="19"/>
        </w:rPr>
        <w:t>Jiang et al. MirrorMark: A Distortion-Free Multi-Bit Watermark for Large Language Models. 2026.</w:t>
      </w:r>
    </w:p>
    <w:p>
      <w:pPr>
        <w:pStyle w:val="ListBullet"/>
        <w:spacing w:after="20" w:line="247" w:lineRule="auto"/>
      </w:pPr>
      <w:r>
        <w:rPr>
          <w:rFonts w:ascii="Aptos" w:hAnsi="Aptos" w:eastAsia="Aptos"/>
          <w:b w:val="0"/>
          <w:i w:val="0"/>
          <w:color w:val="586069"/>
          <w:sz w:val="19"/>
        </w:rPr>
        <w:t>Xu et al. XMark: Reliable Multi-Bit Watermarking for LLM-Generated Texts. ACL 2026.</w:t>
      </w:r>
    </w:p>
    <w:p>
      <w:pPr>
        <w:pStyle w:val="ListBullet"/>
        <w:spacing w:after="20" w:line="247" w:lineRule="auto"/>
      </w:pPr>
      <w:r>
        <w:rPr>
          <w:rFonts w:ascii="Aptos" w:hAnsi="Aptos" w:eastAsia="Aptos"/>
          <w:b w:val="0"/>
          <w:i w:val="0"/>
          <w:color w:val="586069"/>
          <w:sz w:val="19"/>
        </w:rPr>
        <w:t>Zhang et al. Character-Level Perturbations Disrupt LLM Watermarks. NDSS 2026.</w:t>
      </w:r>
    </w:p>
    <w:p>
      <w:pPr>
        <w:pStyle w:val="ListBullet"/>
        <w:spacing w:after="20" w:line="247" w:lineRule="auto"/>
      </w:pPr>
      <w:r>
        <w:rPr>
          <w:rFonts w:ascii="Aptos" w:hAnsi="Aptos" w:eastAsia="Aptos"/>
          <w:b w:val="0"/>
          <w:i w:val="0"/>
          <w:color w:val="586069"/>
          <w:sz w:val="19"/>
        </w:rPr>
        <w:t>Huang et al. RLCracker: Exposing the Vulnerability of LLM Watermarks with Adaptive RL Attacks. 2025.</w:t>
      </w:r>
    </w:p>
    <w:sectPr w:rsidR="00FC693F" w:rsidRPr="0006063C" w:rsidSect="00034616">
      <w:pgSz w:w="12240" w:h="15840"/>
      <w:pgMar w:top="1152" w:right="1368" w:bottom="1008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A47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A47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A477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A477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