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sz w:val="20"/>
          <w:szCs w:val="20"/>
        </w:rPr>
        <w:t xml:space="preserve"/>
      </w:r>
    </w:p>
    <w:p>
      <w:pPr>
        <w:jc w:val="left"/>
      </w:pPr>
      <w:r>
        <w:rPr>
          <w:rFonts w:ascii="Arial" w:cs="Arial" w:eastAsia="Arial" w:hAnsi="Arial"/>
          <w:b/>
          <w:bCs/>
          <w:color w:val="0D1B4B"/>
          <w:sz w:val="50"/>
          <w:szCs w:val="50"/>
        </w:rPr>
        <w:t xml:space="preserve">STAKEHOLDER REGISTER</w:t>
      </w:r>
    </w:p>
    <w:p>
      <w:pPr>
        <w:jc w:val="left"/>
      </w:pPr>
      <w:r>
        <w:rPr>
          <w:rFonts w:ascii="Arial" w:cs="Arial" w:eastAsia="Arial" w:hAnsi="Arial"/>
          <w:b/>
          <w:bCs/>
          <w:color w:val="2563EB"/>
          <w:sz w:val="50"/>
          <w:szCs w:val="50"/>
        </w:rPr>
        <w:t xml:space="preserve">&amp; RACI MATRIX</w:t>
      </w:r>
    </w:p>
    <w:p>
      <w:pPr>
        <w:spacing w:after="0" w:before="60"/>
      </w:pPr>
      <w:r>
        <w:rPr>
          <w:rFonts w:ascii="Arial" w:cs="Arial" w:eastAsia="Arial" w:hAnsi="Arial"/>
          <w:sz w:val="20"/>
          <w:szCs w:val="20"/>
        </w:rPr>
        <w:t xml:space="preserve"/>
      </w:r>
    </w:p>
    <w:p>
      <w:pPr>
        <w:jc w:val="left"/>
      </w:pPr>
      <w:r>
        <w:rPr>
          <w:rFonts w:ascii="Arial" w:cs="Arial" w:eastAsia="Arial" w:hAnsi="Arial"/>
          <w:b/>
          <w:bCs/>
          <w:color w:val="1A3A8F"/>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B7280"/>
          <w:sz w:val="18"/>
          <w:szCs w:val="18"/>
        </w:rPr>
        <w:t xml:space="preserve">Complete stakeholder identification, analysis, engagement strategy, communication plan, and responsibility assignment matrix for all platform decisions and workstreams</w:t>
      </w:r>
    </w:p>
    <w:p>
      <w:pPr>
        <w:spacing w:after="0" w:before="80"/>
      </w:pPr>
      <w:r>
        <w:rPr>
          <w:rFonts w:ascii="Arial" w:cs="Arial" w:eastAsia="Arial" w:hAnsi="Arial"/>
          <w:sz w:val="20"/>
          <w:szCs w:val="20"/>
        </w:rPr>
        <w:t xml:space="preserve"/>
      </w:r>
    </w:p>
    <w:p>
      <w:pPr>
        <w:shd w:fill="2563EB" w:val="clear"/>
        <w:spacing w:after="0" w:before="0"/>
      </w:pPr>
      <w:r>
        <w:rPr>
          <w:rFonts w:ascii="Arial" w:cs="Arial" w:eastAsia="Arial" w:hAnsi="Arial"/>
          <w:sz w:val="4"/>
          <w:szCs w:val="4"/>
        </w:rPr>
        <w:t xml:space="preserve">  </w:t>
      </w:r>
    </w:p>
    <w:p>
      <w:pPr>
        <w:spacing w:after="0" w:before="3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Attribute</w:t>
            </w:r>
          </w:p>
        </w:tc>
        <w:tc>
          <w:tcPr>
            <w:tcW w:type="dxa" w:w="65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Value</w:t>
            </w:r>
          </w:p>
        </w:tc>
      </w:tr>
      <w:tr>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Document Title</w:t>
            </w:r>
          </w:p>
        </w:tc>
        <w:tc>
          <w:tcPr>
            <w:tcW w:type="dxa" w:w="6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Stakeholder Register &amp; RACI Matrix — Adaptive Learning Platform</w:t>
            </w:r>
          </w:p>
        </w:tc>
      </w:tr>
      <w:tr>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Version</w:t>
            </w:r>
          </w:p>
        </w:tc>
        <w:tc>
          <w:tcPr>
            <w:tcW w:type="dxa" w:w="65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1.0 — Initial Release</w:t>
            </w:r>
          </w:p>
        </w:tc>
      </w:tr>
      <w:tr>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Status</w:t>
            </w:r>
          </w:p>
        </w:tc>
        <w:tc>
          <w:tcPr>
            <w:tcW w:type="dxa" w:w="6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Active — Requires review at each phase gate</w:t>
            </w:r>
          </w:p>
        </w:tc>
      </w:tr>
      <w:tr>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Date</w:t>
            </w:r>
          </w:p>
        </w:tc>
        <w:tc>
          <w:tcPr>
            <w:tcW w:type="dxa" w:w="65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April 2026</w:t>
            </w:r>
          </w:p>
        </w:tc>
      </w:tr>
      <w:tr>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Framework</w:t>
            </w:r>
          </w:p>
        </w:tc>
        <w:tc>
          <w:tcPr>
            <w:tcW w:type="dxa" w:w="6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BABOK v3 Stakeholder Engagement · PMI PMBOK 7 · ISO/IEC/IEEE 29148:2018</w:t>
            </w:r>
          </w:p>
        </w:tc>
      </w:tr>
      <w:tr>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Review Cadence</w:t>
            </w:r>
          </w:p>
        </w:tc>
        <w:tc>
          <w:tcPr>
            <w:tcW w:type="dxa" w:w="65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Reviewed and updated at end of each sprint. Formally re-baselined at each phase gate.</w:t>
            </w:r>
          </w:p>
        </w:tc>
      </w:tr>
      <w:tr>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Owner</w:t>
            </w:r>
          </w:p>
        </w:tc>
        <w:tc>
          <w:tcPr>
            <w:tcW w:type="dxa" w:w="6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Product Owner / Business Analyst</w:t>
            </w:r>
          </w:p>
        </w:tc>
      </w:tr>
      <w:tr>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Classification</w:t>
            </w:r>
          </w:p>
        </w:tc>
        <w:tc>
          <w:tcPr>
            <w:tcW w:type="dxa" w:w="65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CONFIDENTIAL — Internal Use Only</w:t>
            </w:r>
          </w:p>
        </w:tc>
      </w:tr>
    </w:tbl>
    <w:p>
      <w:r>
        <w:br w:type="page"/>
      </w:r>
    </w:p>
    <w:p>
      <w:pPr>
        <w:pStyle w:val="Heading1"/>
        <w:spacing w:after="140" w:before="360"/>
      </w:pPr>
      <w:r>
        <w:rPr>
          <w:rFonts w:ascii="Arial" w:cs="Arial" w:eastAsia="Arial" w:hAnsi="Arial"/>
          <w:b/>
          <w:bCs/>
          <w:color w:val="0D1B4B"/>
          <w:sz w:val="20"/>
          <w:szCs w:val="20"/>
        </w:rPr>
        <w:t xml:space="preserve">1. Purpose &amp; Framework</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This document provides a complete stakeholder management framework for the Adaptive Learning Platform. It identifies every individual, group, and organisation with an interest in or influence over the platform — and defines precisely how each stakeholder will be engaged throughout the project lifecycle.</w:t>
      </w:r>
    </w:p>
    <w:p>
      <w:pPr>
        <w:spacing w:after="80" w:before="60"/>
      </w:pPr>
      <w:r>
        <w:rPr>
          <w:rFonts w:ascii="Arial" w:cs="Arial" w:eastAsia="Arial" w:hAnsi="Arial"/>
          <w:color w:val="111827"/>
          <w:sz w:val="20"/>
          <w:szCs w:val="20"/>
        </w:rPr>
        <w:t xml:space="preserve">Effective stakeholder management is not a one-time exercise. This document is a living artefact reviewed at the end of every sprint and formally re-baselined at each phase gate. Stakeholder relationships shift as the platform evolves from requirements through to post-launch operations.</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A3A8F"/>
          <w:sz w:val="20"/>
          <w:szCs w:val="20"/>
        </w:rPr>
        <w:t xml:space="preserve">1.1 Document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Section</w:t>
            </w:r>
          </w:p>
        </w:tc>
        <w:tc>
          <w:tcPr>
            <w:tcW w:type="dxa" w:w="2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Title</w:t>
            </w:r>
          </w:p>
        </w:tc>
        <w:tc>
          <w:tcPr>
            <w:tcW w:type="dxa" w:w="51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Content</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2</w:t>
            </w:r>
          </w:p>
        </w:tc>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Stakeholder Identification</w:t>
            </w:r>
          </w:p>
        </w:tc>
        <w:tc>
          <w:tcPr>
            <w:tcW w:type="dxa" w:w="5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Complete list of all stakeholders with role, type, and initial classification</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3</w:t>
            </w:r>
          </w:p>
        </w:tc>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Stakeholder Analysis Register</w:t>
            </w:r>
          </w:p>
        </w:tc>
        <w:tc>
          <w:tcPr>
            <w:tcW w:type="dxa" w:w="51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Detailed per-stakeholder profiles: interest, influence, power, attitude, needs, risks</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4</w:t>
            </w:r>
          </w:p>
        </w:tc>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Influence–Interest Grid</w:t>
            </w:r>
          </w:p>
        </w:tc>
        <w:tc>
          <w:tcPr>
            <w:tcW w:type="dxa" w:w="5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Visual positioning of stakeholders on 2×2 grid driving engagement strategy</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5</w:t>
            </w:r>
          </w:p>
        </w:tc>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Engagement &amp; Communication Plan</w:t>
            </w:r>
          </w:p>
        </w:tc>
        <w:tc>
          <w:tcPr>
            <w:tcW w:type="dxa" w:w="51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How, when, and what to communicate to each stakeholder group</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6</w:t>
            </w:r>
          </w:p>
        </w:tc>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RACI Matrix — Decisions</w:t>
            </w:r>
          </w:p>
        </w:tc>
        <w:tc>
          <w:tcPr>
            <w:tcW w:type="dxa" w:w="5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Responsibility assignment across 30 key project decisions and activities</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7</w:t>
            </w:r>
          </w:p>
        </w:tc>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RACI Matrix — Workstreams</w:t>
            </w:r>
          </w:p>
        </w:tc>
        <w:tc>
          <w:tcPr>
            <w:tcW w:type="dxa" w:w="51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Responsibility assignment across 8 major delivery workstreams</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8</w:t>
            </w:r>
          </w:p>
        </w:tc>
        <w:tc>
          <w:tcPr>
            <w:tcW w:type="dxa" w:w="2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Stakeholder Risk Register</w:t>
            </w:r>
          </w:p>
        </w:tc>
        <w:tc>
          <w:tcPr>
            <w:tcW w:type="dxa" w:w="5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Risks arising specifically from stakeholder relationships and mitigations</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9</w:t>
            </w:r>
          </w:p>
        </w:tc>
        <w:tc>
          <w:tcPr>
            <w:tcW w:type="dxa" w:w="2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Review &amp; Update Log</w:t>
            </w:r>
          </w:p>
        </w:tc>
        <w:tc>
          <w:tcPr>
            <w:tcW w:type="dxa" w:w="51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Record of all stakeholder register updates with rationale</w:t>
            </w:r>
          </w:p>
        </w:tc>
      </w:tr>
    </w:tbl>
    <w:p>
      <w:r>
        <w:br w:type="page"/>
      </w:r>
    </w:p>
    <w:p>
      <w:pPr>
        <w:pStyle w:val="Heading1"/>
        <w:spacing w:after="140" w:before="360"/>
      </w:pPr>
      <w:r>
        <w:rPr>
          <w:rFonts w:ascii="Arial" w:cs="Arial" w:eastAsia="Arial" w:hAnsi="Arial"/>
          <w:b/>
          <w:bCs/>
          <w:color w:val="0D1B4B"/>
          <w:sz w:val="20"/>
          <w:szCs w:val="20"/>
        </w:rPr>
        <w:t xml:space="preserve">2. Stakeholder Identification</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Stakeholders are identified across four categories: Internal (directly involved in building or running the platform), External Primary (users who directly interact with the platform), External Secondary (those indirectly affected), and Regulatory (bodies with compliance authority).</w:t>
      </w:r>
    </w:p>
    <w:p>
      <w:pPr>
        <w:spacing w:after="0" w:before="60"/>
      </w:pPr>
      <w:r>
        <w:rPr>
          <w:rFonts w:ascii="Arial" w:cs="Arial" w:eastAsia="Arial" w:hAnsi="Arial"/>
          <w:sz w:val="20"/>
          <w:szCs w:val="20"/>
        </w:rPr>
        <w:t xml:space="preserve"/>
      </w:r>
    </w:p>
    <w:p>
      <w:pPr>
        <w:shd w:fill="0D1B4B" w:val="clear"/>
        <w:spacing w:after="120" w:before="260"/>
      </w:pPr>
      <w:r>
        <w:rPr>
          <w:rFonts w:ascii="Arial" w:cs="Arial" w:eastAsia="Arial" w:hAnsi="Arial"/>
          <w:b/>
          <w:bCs/>
          <w:color w:val="FFFFFF"/>
          <w:sz w:val="22"/>
          <w:szCs w:val="22"/>
        </w:rPr>
        <w:t xml:space="preserve">  Internal Stakeholders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1800"/>
        <w:gridCol w:w="1600"/>
        <w:gridCol w:w="1760"/>
      </w:tblGrid>
      <w:tr>
        <w:tc>
          <w:tcPr>
            <w:tcW w:type="dxa" w:w="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ID</w:t>
            </w:r>
          </w:p>
        </w:tc>
        <w:tc>
          <w:tcPr>
            <w:tcW w:type="dxa" w:w="20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Stakeholder</w:t>
            </w:r>
          </w:p>
        </w:tc>
        <w:tc>
          <w:tcPr>
            <w:tcW w:type="dxa" w:w="1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Role/Title</w:t>
            </w:r>
          </w:p>
        </w:tc>
        <w:tc>
          <w:tcPr>
            <w:tcW w:type="dxa" w:w="1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16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Category</w:t>
            </w:r>
          </w:p>
        </w:tc>
        <w:tc>
          <w:tcPr>
            <w:tcW w:type="dxa" w:w="1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Location</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S-01</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Business Owner / Sponsor</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Executive Sponsor</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Decision</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Remote</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S-02</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Product Owner</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Product Lead</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Decision</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On-site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S-03</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Business Analyst</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Requirements Lead</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On-site</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S-04</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Engineering Lead (Tech Lead)</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Principal Engineer</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On-site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S-05</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Frontend Engineers (Web)</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React / Next.js Team</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Team (2–3)</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On-site/Remote</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S-06</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Mobile Engineers (iOS + Android)</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Swift + Kotlin Team</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Team (2–3)</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On-site/Remote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S-07</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Backend Engineers</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Go + Python Team</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Team (3–4)</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On-site/Remote</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S-08</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DevOps / Infrastructure</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Platform Engineer</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On-site/Remote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S-09</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UI/UX Designer</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Product Designer</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On-site/Remote</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S-10</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QA Lead</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Quality Assurance Lead</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On-site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S-11</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Data / ML Engineer</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Analytics &amp; Adaptive Engine</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Remote</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S-12</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Security Lead</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Application Security</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Compliance</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Remote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S-13</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Project Manager</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Delivery Lead</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Delivery</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On-site</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S-14</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Operations Team</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Post-Launch Platform Ops</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Team (2)</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Operations</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On-site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S-15</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Finance / Billing</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Finance Manager</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Individual</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 Support</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Remote</w:t>
            </w:r>
          </w:p>
        </w:tc>
      </w:tr>
    </w:tbl>
    <w:p>
      <w:pPr>
        <w:spacing w:after="0" w:before="100"/>
      </w:pPr>
      <w:r>
        <w:rPr>
          <w:rFonts w:ascii="Arial" w:cs="Arial" w:eastAsia="Arial" w:hAnsi="Arial"/>
          <w:sz w:val="20"/>
          <w:szCs w:val="20"/>
        </w:rPr>
        <w:t xml:space="preserve"/>
      </w:r>
    </w:p>
    <w:p>
      <w:pPr>
        <w:shd w:fill="0F4C75" w:val="clear"/>
        <w:spacing w:after="120" w:before="260"/>
      </w:pPr>
      <w:r>
        <w:rPr>
          <w:rFonts w:ascii="Arial" w:cs="Arial" w:eastAsia="Arial" w:hAnsi="Arial"/>
          <w:b/>
          <w:bCs/>
          <w:color w:val="FFFFFF"/>
          <w:sz w:val="22"/>
          <w:szCs w:val="22"/>
        </w:rPr>
        <w:t xml:space="preserve">  External Primary Stakeholders (Platform Users)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1800"/>
        <w:gridCol w:w="1600"/>
        <w:gridCol w:w="1760"/>
      </w:tblGrid>
      <w:tr>
        <w:tc>
          <w:tcPr>
            <w:tcW w:type="dxa" w:w="40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ID</w:t>
            </w:r>
          </w:p>
        </w:tc>
        <w:tc>
          <w:tcPr>
            <w:tcW w:type="dxa" w:w="200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Stakeholder</w:t>
            </w:r>
          </w:p>
        </w:tc>
        <w:tc>
          <w:tcPr>
            <w:tcW w:type="dxa" w:w="180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Role/Title</w:t>
            </w:r>
          </w:p>
        </w:tc>
        <w:tc>
          <w:tcPr>
            <w:tcW w:type="dxa" w:w="180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160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Category</w:t>
            </w:r>
          </w:p>
        </w:tc>
        <w:tc>
          <w:tcPr>
            <w:tcW w:type="dxa" w:w="1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Volume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F4C75"/>
                <w:sz w:val="18"/>
                <w:szCs w:val="18"/>
              </w:rPr>
              <w:t xml:space="preserve">S-16</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Individual Students (Free)</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Self-registered learners</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Group</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Primary User</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Thousands (Phase 1)</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0F4C75"/>
                <w:sz w:val="18"/>
                <w:szCs w:val="18"/>
              </w:rPr>
              <w:t xml:space="preserve">S-17</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Individual Students (Premium)</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Paid subscribers</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Group</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External — Primary User</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Hundreds (Phase 1)</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F4C75"/>
                <w:sz w:val="18"/>
                <w:szCs w:val="18"/>
              </w:rPr>
              <w:t xml:space="preserve">S-18</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Institution Students</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School/coaching centre users</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Group</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Primary User</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Per institution</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0F4C75"/>
                <w:sz w:val="18"/>
                <w:szCs w:val="18"/>
              </w:rPr>
              <w:t xml:space="preserve">S-19</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Expert Content Creators</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Subject matter experts</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Group</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External — Primary User</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Tens (Phase 1)</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F4C75"/>
                <w:sz w:val="18"/>
                <w:szCs w:val="18"/>
              </w:rPr>
              <w:t xml:space="preserve">S-20</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Institution Teachers</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Coaching centre faculty</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Group</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Primary User</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Per institution</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0F4C75"/>
                <w:sz w:val="18"/>
                <w:szCs w:val="18"/>
              </w:rPr>
              <w:t xml:space="preserve">S-21</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Moderators (Internal/External)</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Content quality gatekeepers</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Group</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External — Platform Operator</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Small team (3–5)</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F4C75"/>
                <w:sz w:val="18"/>
                <w:szCs w:val="18"/>
              </w:rPr>
              <w:t xml:space="preserve">S-22</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Institution Admins</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School/centre managers</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Group</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B2B Customer</w:t>
            </w:r>
          </w:p>
        </w:tc>
        <w:tc>
          <w:tcPr>
            <w:tcW w:type="dxa" w:w="17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Per institution</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0F4C75"/>
                <w:sz w:val="18"/>
                <w:szCs w:val="18"/>
              </w:rPr>
              <w:t xml:space="preserve">S-23</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Platform Admins (Internal Ops)</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operations team</w:t>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Team (2–3)</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 Platform Operator</w:t>
            </w:r>
          </w:p>
        </w:tc>
        <w:tc>
          <w:tcPr>
            <w:tcW w:type="dxa" w:w="17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team</w:t>
            </w:r>
          </w:p>
        </w:tc>
      </w:tr>
    </w:tbl>
    <w:p>
      <w:pPr>
        <w:spacing w:after="0" w:before="100"/>
      </w:pPr>
      <w:r>
        <w:rPr>
          <w:rFonts w:ascii="Arial" w:cs="Arial" w:eastAsia="Arial" w:hAnsi="Arial"/>
          <w:sz w:val="20"/>
          <w:szCs w:val="20"/>
        </w:rPr>
        <w:t xml:space="preserve"/>
      </w:r>
    </w:p>
    <w:p>
      <w:pPr>
        <w:shd w:fill="1E293B" w:val="clear"/>
        <w:spacing w:after="120" w:before="260"/>
      </w:pPr>
      <w:r>
        <w:rPr>
          <w:rFonts w:ascii="Arial" w:cs="Arial" w:eastAsia="Arial" w:hAnsi="Arial"/>
          <w:b/>
          <w:bCs/>
          <w:color w:val="FFFFFF"/>
          <w:sz w:val="22"/>
          <w:szCs w:val="22"/>
        </w:rPr>
        <w:t xml:space="preserve">  External Secondary &amp; Regulatory Stakeholders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360"/>
        <w:gridCol w:w="2400"/>
      </w:tblGrid>
      <w:tr>
        <w:tc>
          <w:tcPr>
            <w:tcW w:type="dxa" w:w="40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ID</w:t>
            </w:r>
          </w:p>
        </w:tc>
        <w:tc>
          <w:tcPr>
            <w:tcW w:type="dxa" w:w="220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Stakeholder</w:t>
            </w:r>
          </w:p>
        </w:tc>
        <w:tc>
          <w:tcPr>
            <w:tcW w:type="dxa" w:w="200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Organisation</w:t>
            </w:r>
          </w:p>
        </w:tc>
        <w:tc>
          <w:tcPr>
            <w:tcW w:type="dxa" w:w="23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240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Category</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S-24</w:t>
            </w:r>
          </w:p>
        </w:tc>
        <w:tc>
          <w:tcPr>
            <w:tcW w:type="dxa" w:w="2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Payment Service Provider</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Stripe / Regional PSP</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Platform billing and payment processing compliance</w:t>
            </w:r>
          </w:p>
        </w:tc>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Technology Partner</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E293B"/>
                <w:sz w:val="18"/>
                <w:szCs w:val="18"/>
              </w:rPr>
              <w:t xml:space="preserve">S-25</w:t>
            </w:r>
          </w:p>
        </w:tc>
        <w:tc>
          <w:tcPr>
            <w:tcW w:type="dxa" w:w="2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Cloud Infrastructure</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AWS</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Platform hosting, SLA, cost management</w:t>
            </w:r>
          </w:p>
        </w:tc>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External — Technology Partner</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S-26</w:t>
            </w:r>
          </w:p>
        </w:tc>
        <w:tc>
          <w:tcPr>
            <w:tcW w:type="dxa" w:w="2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Email / SMS Provider</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SendGrid / Twilio</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Delivery reliability for transactional communications</w:t>
            </w:r>
          </w:p>
        </w:tc>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Technology Partner</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E293B"/>
                <w:sz w:val="18"/>
                <w:szCs w:val="18"/>
              </w:rPr>
              <w:t xml:space="preserve">S-27</w:t>
            </w:r>
          </w:p>
        </w:tc>
        <w:tc>
          <w:tcPr>
            <w:tcW w:type="dxa" w:w="2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Data Protection Authority</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India PDPB / EU GDPR</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Personal data processing compliance</w:t>
            </w:r>
          </w:p>
        </w:tc>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Regulatory — Compliance</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S-28</w:t>
            </w:r>
          </w:p>
        </w:tc>
        <w:tc>
          <w:tcPr>
            <w:tcW w:type="dxa" w:w="2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Examination Boards</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NTA (NEET/JEE), UPSC, CBSE</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Accuracy of exam syllabus content on platform</w:t>
            </w:r>
          </w:p>
        </w:tc>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Content Authority</w:t>
            </w:r>
          </w:p>
        </w:tc>
      </w:tr>
      <w:tr>
        <w:tc>
          <w:tcPr>
            <w:tcW w:type="dxa" w:w="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E293B"/>
                <w:sz w:val="18"/>
                <w:szCs w:val="18"/>
              </w:rPr>
              <w:t xml:space="preserve">S-29</w:t>
            </w:r>
          </w:p>
        </w:tc>
        <w:tc>
          <w:tcPr>
            <w:tcW w:type="dxa" w:w="2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Parent Community</w:t>
            </w:r>
          </w:p>
        </w:tc>
        <w:tc>
          <w:tcPr>
            <w:tcW w:type="dxa" w:w="2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Parents of student users</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Child safety, data privacy, academic outcomes</w:t>
            </w:r>
          </w:p>
        </w:tc>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External — Secondary User</w:t>
            </w:r>
          </w:p>
        </w:tc>
      </w:tr>
      <w:tr>
        <w:tc>
          <w:tcPr>
            <w:tcW w:type="dxa" w:w="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S-30</w:t>
            </w:r>
          </w:p>
        </w:tc>
        <w:tc>
          <w:tcPr>
            <w:tcW w:type="dxa" w:w="2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Investor / Funding Body</w:t>
            </w:r>
          </w:p>
        </w:tc>
        <w:tc>
          <w:tcPr>
            <w:tcW w:type="dxa" w:w="2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TBD</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Revenue growth, platform traction, market expansion</w:t>
            </w:r>
          </w:p>
        </w:tc>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External — Financial Stakeholder</w:t>
            </w:r>
          </w:p>
        </w:tc>
      </w:tr>
    </w:tbl>
    <w:p>
      <w:r>
        <w:br w:type="page"/>
      </w:r>
    </w:p>
    <w:p>
      <w:pPr>
        <w:pStyle w:val="Heading1"/>
        <w:spacing w:after="140" w:before="360"/>
      </w:pPr>
      <w:r>
        <w:rPr>
          <w:rFonts w:ascii="Arial" w:cs="Arial" w:eastAsia="Arial" w:hAnsi="Arial"/>
          <w:b/>
          <w:bCs/>
          <w:color w:val="0D1B4B"/>
          <w:sz w:val="20"/>
          <w:szCs w:val="20"/>
        </w:rPr>
        <w:t xml:space="preserve">3. Stakeholder Analysis Register</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Each stakeholder is profiled across five dimensions: Influence (ability to affect project outcomes), Interest (degree of stake in the outcome), Power (organisational authority), Attitude (current disposition), and Engagement Strategy (how we manage the relationship).</w:t>
      </w:r>
    </w:p>
    <w:p>
      <w:pPr>
        <w:spacing w:after="0" w:before="80"/>
      </w:pPr>
      <w:r>
        <w:rPr>
          <w:rFonts w:ascii="Arial" w:cs="Arial" w:eastAsia="Arial" w:hAnsi="Arial"/>
          <w:sz w:val="20"/>
          <w:szCs w:val="20"/>
        </w:rPr>
        <w:t xml:space="preserve"/>
      </w:r>
    </w:p>
    <w:p>
      <w:pPr>
        <w:shd w:fill="0D1B4B" w:val="clear"/>
        <w:spacing w:after="120" w:before="260"/>
      </w:pPr>
      <w:r>
        <w:rPr>
          <w:rFonts w:ascii="Arial" w:cs="Arial" w:eastAsia="Arial" w:hAnsi="Arial"/>
          <w:b/>
          <w:bCs/>
          <w:color w:val="FFFFFF"/>
          <w:sz w:val="22"/>
          <w:szCs w:val="22"/>
        </w:rPr>
        <w:t xml:space="preserve">  Internal Stakeholders — Key Decision Makers  </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4"/>
              <w:left w:val="single" w:color="0D1B4B" w:sz="14"/>
              <w:bottom w:val="single" w:color="0D1B4B" w:sz="14"/>
              <w:right w:val="single" w:color="0D1B4B" w:sz="14"/>
            </w:tcBorders>
            <w:shd w:fill="0D1B4B" w:val="clear"/>
            <w:tcMar>
              <w:top w:type="dxa" w:w="0"/>
              <w:left w:type="dxa" w:w="0"/>
              <w:bottom w:type="dxa" w:w="0"/>
              <w:right w:type="dxa" w:w="0"/>
            </w:tcMar>
          </w:tcPr>
          <w:p>
            <w:r>
              <w:rPr>
                <w:rFonts w:ascii="Arial" w:cs="Arial" w:eastAsia="Arial" w:hAnsi="Arial"/>
                <w:b/>
                <w:bCs/>
                <w:color w:val="FFFFFF"/>
                <w:sz w:val="17"/>
                <w:szCs w:val="17"/>
              </w:rPr>
              <w:t xml:space="preserve">  S-01  </w:t>
            </w:r>
            <w:r>
              <w:rPr>
                <w:rFonts w:ascii="Arial" w:cs="Arial" w:eastAsia="Arial" w:hAnsi="Arial"/>
                <w:b/>
                <w:bCs/>
                <w:color w:val="FFFFFF"/>
                <w:sz w:val="20"/>
                <w:szCs w:val="20"/>
              </w:rPr>
              <w:t xml:space="preserve">Business Owner / Sponsor</w:t>
            </w:r>
            <w:r>
              <w:rPr>
                <w:rFonts w:ascii="Arial" w:cs="Arial" w:eastAsia="Arial" w:hAnsi="Arial"/>
                <w:color w:val="FFFFFF"/>
                <w:sz w:val="17"/>
                <w:szCs w:val="17"/>
              </w:rPr>
              <w:t xml:space="preserve">  —  Executive Sponsor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Champion — Accountable for platform success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 Closely — Weekly written status. Monthly deep-dive demo. Immediate escalation on P0 blockers or scope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Platform achieves revenue targets and market traction</w:t>
            </w:r>
          </w:p>
          <w:p>
            <w:pPr>
              <w:spacing w:after="30" w:before="30"/>
            </w:pPr>
            <w:r>
              <w:rPr>
                <w:rFonts w:ascii="Arial" w:cs="Arial" w:eastAsia="Arial" w:hAnsi="Arial"/>
                <w:b w:val="false"/>
                <w:bCs w:val="false"/>
                <w:color w:val="111827"/>
                <w:sz w:val="18"/>
                <w:szCs w:val="18"/>
              </w:rPr>
              <w:t xml:space="preserve">Phase 1 launches on time and within budget</w:t>
            </w:r>
          </w:p>
          <w:p>
            <w:pPr>
              <w:spacing w:after="30" w:before="30"/>
            </w:pPr>
            <w:r>
              <w:rPr>
                <w:rFonts w:ascii="Arial" w:cs="Arial" w:eastAsia="Arial" w:hAnsi="Arial"/>
                <w:b w:val="false"/>
                <w:bCs w:val="false"/>
                <w:color w:val="111827"/>
                <w:sz w:val="18"/>
                <w:szCs w:val="18"/>
              </w:rPr>
              <w:t xml:space="preserve">Product decisions are made with business ROI in mind</w:t>
            </w:r>
          </w:p>
          <w:p>
            <w:pPr>
              <w:spacing w:after="30" w:before="30"/>
            </w:pPr>
            <w:r>
              <w:rPr>
                <w:rFonts w:ascii="Arial" w:cs="Arial" w:eastAsia="Arial" w:hAnsi="Arial"/>
                <w:b w:val="false"/>
                <w:bCs w:val="false"/>
                <w:color w:val="111827"/>
                <w:sz w:val="18"/>
                <w:szCs w:val="18"/>
              </w:rPr>
              <w:t xml:space="preserve">Clear visibility into progress without needing to manage daily delivery</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Strategic misalignment if not kept informed of scope changes</w:t>
            </w:r>
          </w:p>
          <w:p>
            <w:pPr>
              <w:spacing w:after="30" w:before="30"/>
            </w:pPr>
            <w:r>
              <w:rPr>
                <w:rFonts w:ascii="Arial" w:cs="Arial" w:eastAsia="Arial" w:hAnsi="Arial"/>
                <w:b w:val="false"/>
                <w:bCs w:val="false"/>
                <w:color w:val="111827"/>
                <w:sz w:val="18"/>
                <w:szCs w:val="18"/>
              </w:rPr>
              <w:t xml:space="preserve">Funding or priority withdrawal if early metrics disappoint</w:t>
            </w:r>
          </w:p>
          <w:p>
            <w:pPr>
              <w:spacing w:after="30" w:before="30"/>
            </w:pPr>
            <w:r>
              <w:rPr>
                <w:rFonts w:ascii="Arial" w:cs="Arial" w:eastAsia="Arial" w:hAnsi="Arial"/>
                <w:b w:val="false"/>
                <w:bCs w:val="false"/>
                <w:color w:val="111827"/>
                <w:sz w:val="18"/>
                <w:szCs w:val="18"/>
              </w:rPr>
              <w:t xml:space="preserve">Conflicting direction if not consulted on key pivots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4"/>
              <w:left w:val="single" w:color="0D1B4B" w:sz="14"/>
              <w:bottom w:val="single" w:color="0D1B4B" w:sz="14"/>
              <w:right w:val="single" w:color="0D1B4B" w:sz="14"/>
            </w:tcBorders>
            <w:shd w:fill="0D1B4B" w:val="clear"/>
            <w:tcMar>
              <w:top w:type="dxa" w:w="0"/>
              <w:left w:type="dxa" w:w="0"/>
              <w:bottom w:type="dxa" w:w="0"/>
              <w:right w:type="dxa" w:w="0"/>
            </w:tcMar>
          </w:tcPr>
          <w:p>
            <w:r>
              <w:rPr>
                <w:rFonts w:ascii="Arial" w:cs="Arial" w:eastAsia="Arial" w:hAnsi="Arial"/>
                <w:b/>
                <w:bCs/>
                <w:color w:val="FFFFFF"/>
                <w:sz w:val="17"/>
                <w:szCs w:val="17"/>
              </w:rPr>
              <w:t xml:space="preserve">  S-02  </w:t>
            </w:r>
            <w:r>
              <w:rPr>
                <w:rFonts w:ascii="Arial" w:cs="Arial" w:eastAsia="Arial" w:hAnsi="Arial"/>
                <w:b/>
                <w:bCs/>
                <w:color w:val="FFFFFF"/>
                <w:sz w:val="20"/>
                <w:szCs w:val="20"/>
              </w:rPr>
              <w:t xml:space="preserve">Product Owner</w:t>
            </w:r>
            <w:r>
              <w:rPr>
                <w:rFonts w:ascii="Arial" w:cs="Arial" w:eastAsia="Arial" w:hAnsi="Arial"/>
                <w:color w:val="FFFFFF"/>
                <w:sz w:val="17"/>
                <w:szCs w:val="17"/>
              </w:rPr>
              <w:t xml:space="preserve">  —  Product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Champion — Drives product vision daily</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 Closely — Daily standup participant. Sprint planning and review owner. Primary contact for all requirement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Complete, unambiguous requirements before sprint starts</w:t>
            </w:r>
          </w:p>
          <w:p>
            <w:pPr>
              <w:spacing w:after="30" w:before="30"/>
            </w:pPr>
            <w:r>
              <w:rPr>
                <w:rFonts w:ascii="Arial" w:cs="Arial" w:eastAsia="Arial" w:hAnsi="Arial"/>
                <w:b w:val="false"/>
                <w:bCs w:val="false"/>
                <w:color w:val="111827"/>
                <w:sz w:val="18"/>
                <w:szCs w:val="18"/>
              </w:rPr>
              <w:t xml:space="preserve">Engineering team honours feature decisions without re-negotiation</w:t>
            </w:r>
          </w:p>
          <w:p>
            <w:pPr>
              <w:spacing w:after="30" w:before="30"/>
            </w:pPr>
            <w:r>
              <w:rPr>
                <w:rFonts w:ascii="Arial" w:cs="Arial" w:eastAsia="Arial" w:hAnsi="Arial"/>
                <w:b w:val="false"/>
                <w:bCs w:val="false"/>
                <w:color w:val="111827"/>
                <w:sz w:val="18"/>
                <w:szCs w:val="18"/>
              </w:rPr>
              <w:t xml:space="preserve">Clear backlog prioritisation maintained throughout delivery</w:t>
            </w:r>
          </w:p>
          <w:p>
            <w:pPr>
              <w:spacing w:after="30" w:before="30"/>
            </w:pPr>
            <w:r>
              <w:rPr>
                <w:rFonts w:ascii="Arial" w:cs="Arial" w:eastAsia="Arial" w:hAnsi="Arial"/>
                <w:b w:val="false"/>
                <w:bCs w:val="false"/>
                <w:color w:val="111827"/>
                <w:sz w:val="18"/>
                <w:szCs w:val="18"/>
              </w:rPr>
              <w:t xml:space="preserve">Rapid feedback loop from QA and design to avoid late rework</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Backlog ambiguity leading to incorrect implementation</w:t>
            </w:r>
          </w:p>
          <w:p>
            <w:pPr>
              <w:spacing w:after="30" w:before="30"/>
            </w:pPr>
            <w:r>
              <w:rPr>
                <w:rFonts w:ascii="Arial" w:cs="Arial" w:eastAsia="Arial" w:hAnsi="Arial"/>
                <w:b w:val="false"/>
                <w:bCs w:val="false"/>
                <w:color w:val="111827"/>
                <w:sz w:val="18"/>
                <w:szCs w:val="18"/>
              </w:rPr>
              <w:t xml:space="preserve">Sprint scope creep if boundaries not enforced</w:t>
            </w:r>
          </w:p>
          <w:p>
            <w:pPr>
              <w:spacing w:after="30" w:before="30"/>
            </w:pPr>
            <w:r>
              <w:rPr>
                <w:rFonts w:ascii="Arial" w:cs="Arial" w:eastAsia="Arial" w:hAnsi="Arial"/>
                <w:b w:val="false"/>
                <w:bCs w:val="false"/>
                <w:color w:val="111827"/>
                <w:sz w:val="18"/>
                <w:szCs w:val="18"/>
              </w:rPr>
              <w:t xml:space="preserve">Team misalignment if competing priorities emerge</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4"/>
              <w:left w:val="single" w:color="0D1B4B" w:sz="14"/>
              <w:bottom w:val="single" w:color="0D1B4B" w:sz="14"/>
              <w:right w:val="single" w:color="0D1B4B" w:sz="14"/>
            </w:tcBorders>
            <w:shd w:fill="0D1B4B" w:val="clear"/>
            <w:tcMar>
              <w:top w:type="dxa" w:w="0"/>
              <w:left w:type="dxa" w:w="0"/>
              <w:bottom w:type="dxa" w:w="0"/>
              <w:right w:type="dxa" w:w="0"/>
            </w:tcMar>
          </w:tcPr>
          <w:p>
            <w:r>
              <w:rPr>
                <w:rFonts w:ascii="Arial" w:cs="Arial" w:eastAsia="Arial" w:hAnsi="Arial"/>
                <w:b/>
                <w:bCs/>
                <w:color w:val="FFFFFF"/>
                <w:sz w:val="17"/>
                <w:szCs w:val="17"/>
              </w:rPr>
              <w:t xml:space="preserve">  S-03  </w:t>
            </w:r>
            <w:r>
              <w:rPr>
                <w:rFonts w:ascii="Arial" w:cs="Arial" w:eastAsia="Arial" w:hAnsi="Arial"/>
                <w:b/>
                <w:bCs/>
                <w:color w:val="FFFFFF"/>
                <w:sz w:val="20"/>
                <w:szCs w:val="20"/>
              </w:rPr>
              <w:t xml:space="preserve">Engineering Lead (Tech Lead)</w:t>
            </w:r>
            <w:r>
              <w:rPr>
                <w:rFonts w:ascii="Arial" w:cs="Arial" w:eastAsia="Arial" w:hAnsi="Arial"/>
                <w:color w:val="FFFFFF"/>
                <w:sz w:val="17"/>
                <w:szCs w:val="17"/>
              </w:rPr>
              <w:t xml:space="preserve">  —  Principal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Champion — Technical decision authority</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 Closely — Sprint planning co-facilitator. Architecture review sessions. Direct line to Product Owner on technical blockers.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Architecture decisions are respected and implemented consistently</w:t>
            </w:r>
          </w:p>
          <w:p>
            <w:pPr>
              <w:spacing w:after="30" w:before="30"/>
            </w:pPr>
            <w:r>
              <w:rPr>
                <w:rFonts w:ascii="Arial" w:cs="Arial" w:eastAsia="Arial" w:hAnsi="Arial"/>
                <w:b w:val="false"/>
                <w:bCs w:val="false"/>
                <w:color w:val="111827"/>
                <w:sz w:val="18"/>
                <w:szCs w:val="18"/>
              </w:rPr>
              <w:t xml:space="preserve">Sufficient time for technical spikes before commitment to implementation</w:t>
            </w:r>
          </w:p>
          <w:p>
            <w:pPr>
              <w:spacing w:after="30" w:before="30"/>
            </w:pPr>
            <w:r>
              <w:rPr>
                <w:rFonts w:ascii="Arial" w:cs="Arial" w:eastAsia="Arial" w:hAnsi="Arial"/>
                <w:b w:val="false"/>
                <w:bCs w:val="false"/>
                <w:color w:val="111827"/>
                <w:sz w:val="18"/>
                <w:szCs w:val="18"/>
              </w:rPr>
              <w:t xml:space="preserve">Clear requirements to avoid late redesign</w:t>
            </w:r>
          </w:p>
          <w:p>
            <w:pPr>
              <w:spacing w:after="30" w:before="30"/>
            </w:pPr>
            <w:r>
              <w:rPr>
                <w:rFonts w:ascii="Arial" w:cs="Arial" w:eastAsia="Arial" w:hAnsi="Arial"/>
                <w:b w:val="false"/>
                <w:bCs w:val="false"/>
                <w:color w:val="111827"/>
                <w:sz w:val="18"/>
                <w:szCs w:val="18"/>
              </w:rPr>
              <w:t xml:space="preserve">Performance NFRs are achievable within the proposed stack</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Technical debt accumulation if architecture is rushed</w:t>
            </w:r>
          </w:p>
          <w:p>
            <w:pPr>
              <w:spacing w:after="30" w:before="30"/>
            </w:pPr>
            <w:r>
              <w:rPr>
                <w:rFonts w:ascii="Arial" w:cs="Arial" w:eastAsia="Arial" w:hAnsi="Arial"/>
                <w:b w:val="false"/>
                <w:bCs w:val="false"/>
                <w:color w:val="111827"/>
                <w:sz w:val="18"/>
                <w:szCs w:val="18"/>
              </w:rPr>
              <w:t xml:space="preserve">Team morale risk if overruled without explanation</w:t>
            </w:r>
          </w:p>
          <w:p>
            <w:pPr>
              <w:spacing w:after="30" w:before="30"/>
            </w:pPr>
            <w:r>
              <w:rPr>
                <w:rFonts w:ascii="Arial" w:cs="Arial" w:eastAsia="Arial" w:hAnsi="Arial"/>
                <w:b w:val="false"/>
                <w:bCs w:val="false"/>
                <w:color w:val="111827"/>
                <w:sz w:val="18"/>
                <w:szCs w:val="18"/>
              </w:rPr>
              <w:t xml:space="preserve">Performance failures at launch if NFRs not tested early</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14"/>
              <w:left w:val="single" w:color="1A3A8F" w:sz="14"/>
              <w:bottom w:val="single" w:color="1A3A8F" w:sz="14"/>
              <w:right w:val="single" w:color="1A3A8F" w:sz="14"/>
            </w:tcBorders>
            <w:shd w:fill="1A3A8F" w:val="clear"/>
            <w:tcMar>
              <w:top w:type="dxa" w:w="0"/>
              <w:left w:type="dxa" w:w="0"/>
              <w:bottom w:type="dxa" w:w="0"/>
              <w:right w:type="dxa" w:w="0"/>
            </w:tcMar>
          </w:tcPr>
          <w:p>
            <w:r>
              <w:rPr>
                <w:rFonts w:ascii="Arial" w:cs="Arial" w:eastAsia="Arial" w:hAnsi="Arial"/>
                <w:b/>
                <w:bCs/>
                <w:color w:val="FFFFFF"/>
                <w:sz w:val="17"/>
                <w:szCs w:val="17"/>
              </w:rPr>
              <w:t xml:space="preserve">  S-04  </w:t>
            </w:r>
            <w:r>
              <w:rPr>
                <w:rFonts w:ascii="Arial" w:cs="Arial" w:eastAsia="Arial" w:hAnsi="Arial"/>
                <w:b/>
                <w:bCs/>
                <w:color w:val="FFFFFF"/>
                <w:sz w:val="20"/>
                <w:szCs w:val="20"/>
              </w:rPr>
              <w:t xml:space="preserve">UI/UX Designer</w:t>
            </w:r>
            <w:r>
              <w:rPr>
                <w:rFonts w:ascii="Arial" w:cs="Arial" w:eastAsia="Arial" w:hAnsi="Arial"/>
                <w:color w:val="FFFFFF"/>
                <w:sz w:val="17"/>
                <w:szCs w:val="17"/>
              </w:rPr>
              <w:t xml:space="preserve">  —  Product Designer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Supportive — Wants high-quality user experience</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Collaborate — Involved in sprint planning. Design review before every story enters development. Weekly design sync.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User stories are detailed enough to design from without interpretation</w:t>
            </w:r>
          </w:p>
          <w:p>
            <w:pPr>
              <w:spacing w:after="30" w:before="30"/>
            </w:pPr>
            <w:r>
              <w:rPr>
                <w:rFonts w:ascii="Arial" w:cs="Arial" w:eastAsia="Arial" w:hAnsi="Arial"/>
                <w:b w:val="false"/>
                <w:bCs w:val="false"/>
                <w:color w:val="111827"/>
                <w:sz w:val="18"/>
                <w:szCs w:val="18"/>
              </w:rPr>
              <w:t xml:space="preserve">Design feedback incorporated before development begins</w:t>
            </w:r>
          </w:p>
          <w:p>
            <w:pPr>
              <w:spacing w:after="30" w:before="30"/>
            </w:pPr>
            <w:r>
              <w:rPr>
                <w:rFonts w:ascii="Arial" w:cs="Arial" w:eastAsia="Arial" w:hAnsi="Arial"/>
                <w:b w:val="false"/>
                <w:bCs w:val="false"/>
                <w:color w:val="111827"/>
                <w:sz w:val="18"/>
                <w:szCs w:val="18"/>
              </w:rPr>
              <w:t xml:space="preserve">Adequate time for design iteration between sprints</w:t>
            </w:r>
          </w:p>
          <w:p>
            <w:pPr>
              <w:spacing w:after="30" w:before="30"/>
            </w:pPr>
            <w:r>
              <w:rPr>
                <w:rFonts w:ascii="Arial" w:cs="Arial" w:eastAsia="Arial" w:hAnsi="Arial"/>
                <w:b w:val="false"/>
                <w:bCs w:val="false"/>
                <w:color w:val="111827"/>
                <w:sz w:val="18"/>
                <w:szCs w:val="18"/>
              </w:rPr>
              <w:t xml:space="preserve">Accessibility requirements are treated as first-class requirements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Poor UX shipped if design reviews skipped under time pressure</w:t>
            </w:r>
          </w:p>
          <w:p>
            <w:pPr>
              <w:spacing w:after="30" w:before="30"/>
            </w:pPr>
            <w:r>
              <w:rPr>
                <w:rFonts w:ascii="Arial" w:cs="Arial" w:eastAsia="Arial" w:hAnsi="Arial"/>
                <w:b w:val="false"/>
                <w:bCs w:val="false"/>
                <w:color w:val="111827"/>
                <w:sz w:val="18"/>
                <w:szCs w:val="18"/>
              </w:rPr>
              <w:t xml:space="preserve">Accessibility failures if design not audited before development</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14"/>
              <w:left w:val="single" w:color="1A3A8F" w:sz="14"/>
              <w:bottom w:val="single" w:color="1A3A8F" w:sz="14"/>
              <w:right w:val="single" w:color="1A3A8F" w:sz="14"/>
            </w:tcBorders>
            <w:shd w:fill="1A3A8F" w:val="clear"/>
            <w:tcMar>
              <w:top w:type="dxa" w:w="0"/>
              <w:left w:type="dxa" w:w="0"/>
              <w:bottom w:type="dxa" w:w="0"/>
              <w:right w:type="dxa" w:w="0"/>
            </w:tcMar>
          </w:tcPr>
          <w:p>
            <w:r>
              <w:rPr>
                <w:rFonts w:ascii="Arial" w:cs="Arial" w:eastAsia="Arial" w:hAnsi="Arial"/>
                <w:b/>
                <w:bCs/>
                <w:color w:val="FFFFFF"/>
                <w:sz w:val="17"/>
                <w:szCs w:val="17"/>
              </w:rPr>
              <w:t xml:space="preserve">  S-05  </w:t>
            </w:r>
            <w:r>
              <w:rPr>
                <w:rFonts w:ascii="Arial" w:cs="Arial" w:eastAsia="Arial" w:hAnsi="Arial"/>
                <w:b/>
                <w:bCs/>
                <w:color w:val="FFFFFF"/>
                <w:sz w:val="20"/>
                <w:szCs w:val="20"/>
              </w:rPr>
              <w:t xml:space="preserve">QA Lead</w:t>
            </w:r>
            <w:r>
              <w:rPr>
                <w:rFonts w:ascii="Arial" w:cs="Arial" w:eastAsia="Arial" w:hAnsi="Arial"/>
                <w:color w:val="FFFFFF"/>
                <w:sz w:val="17"/>
                <w:szCs w:val="17"/>
              </w:rPr>
              <w:t xml:space="preserve">  —  Quality Assurance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Supportive — Quality champion</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Collaborate — QA Lead reviews DoD at sprint planning. Test case sign-off required before story closure.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Test cases are written alongside development, not after</w:t>
            </w:r>
          </w:p>
          <w:p>
            <w:pPr>
              <w:spacing w:after="30" w:before="30"/>
            </w:pPr>
            <w:r>
              <w:rPr>
                <w:rFonts w:ascii="Arial" w:cs="Arial" w:eastAsia="Arial" w:hAnsi="Arial"/>
                <w:b w:val="false"/>
                <w:bCs w:val="false"/>
                <w:color w:val="111827"/>
                <w:sz w:val="18"/>
                <w:szCs w:val="18"/>
              </w:rPr>
              <w:t xml:space="preserve">Sufficient regression time before every release</w:t>
            </w:r>
          </w:p>
          <w:p>
            <w:pPr>
              <w:spacing w:after="30" w:before="30"/>
            </w:pPr>
            <w:r>
              <w:rPr>
                <w:rFonts w:ascii="Arial" w:cs="Arial" w:eastAsia="Arial" w:hAnsi="Arial"/>
                <w:b w:val="false"/>
                <w:bCs w:val="false"/>
                <w:color w:val="111827"/>
                <w:sz w:val="18"/>
                <w:szCs w:val="18"/>
              </w:rPr>
              <w:t xml:space="preserve">Clear acceptance criteria on every user story</w:t>
            </w:r>
          </w:p>
          <w:p>
            <w:pPr>
              <w:spacing w:after="30" w:before="30"/>
            </w:pPr>
            <w:r>
              <w:rPr>
                <w:rFonts w:ascii="Arial" w:cs="Arial" w:eastAsia="Arial" w:hAnsi="Arial"/>
                <w:b w:val="false"/>
                <w:bCs w:val="false"/>
                <w:color w:val="111827"/>
                <w:sz w:val="18"/>
                <w:szCs w:val="18"/>
              </w:rPr>
              <w:t xml:space="preserve">Performance and security test environments provisioned early</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Quality failures at launch if QA cycle is compressed</w:t>
            </w:r>
          </w:p>
          <w:p>
            <w:pPr>
              <w:spacing w:after="30" w:before="30"/>
            </w:pPr>
            <w:r>
              <w:rPr>
                <w:rFonts w:ascii="Arial" w:cs="Arial" w:eastAsia="Arial" w:hAnsi="Arial"/>
                <w:b w:val="false"/>
                <w:bCs w:val="false"/>
                <w:color w:val="111827"/>
                <w:sz w:val="18"/>
                <w:szCs w:val="18"/>
              </w:rPr>
              <w:t xml:space="preserve">Unclear acceptance criteria leading to disagreements on sign-off</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14"/>
              <w:left w:val="single" w:color="1A3A8F" w:sz="14"/>
              <w:bottom w:val="single" w:color="1A3A8F" w:sz="14"/>
              <w:right w:val="single" w:color="1A3A8F" w:sz="14"/>
            </w:tcBorders>
            <w:shd w:fill="1A3A8F" w:val="clear"/>
            <w:tcMar>
              <w:top w:type="dxa" w:w="0"/>
              <w:left w:type="dxa" w:w="0"/>
              <w:bottom w:type="dxa" w:w="0"/>
              <w:right w:type="dxa" w:w="0"/>
            </w:tcMar>
          </w:tcPr>
          <w:p>
            <w:r>
              <w:rPr>
                <w:rFonts w:ascii="Arial" w:cs="Arial" w:eastAsia="Arial" w:hAnsi="Arial"/>
                <w:b/>
                <w:bCs/>
                <w:color w:val="FFFFFF"/>
                <w:sz w:val="17"/>
                <w:szCs w:val="17"/>
              </w:rPr>
              <w:t xml:space="preserve">  S-06  </w:t>
            </w:r>
            <w:r>
              <w:rPr>
                <w:rFonts w:ascii="Arial" w:cs="Arial" w:eastAsia="Arial" w:hAnsi="Arial"/>
                <w:b/>
                <w:bCs/>
                <w:color w:val="FFFFFF"/>
                <w:sz w:val="20"/>
                <w:szCs w:val="20"/>
              </w:rPr>
              <w:t xml:space="preserve">Data / ML Engineer</w:t>
            </w:r>
            <w:r>
              <w:rPr>
                <w:rFonts w:ascii="Arial" w:cs="Arial" w:eastAsia="Arial" w:hAnsi="Arial"/>
                <w:color w:val="FFFFFF"/>
                <w:sz w:val="17"/>
                <w:szCs w:val="17"/>
              </w:rPr>
              <w:t xml:space="preserve">  —  Analytics &amp; Adaptive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Supportive — Deep ownership of core differentiator</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Collaborate — Involved in algorithm design review. Weekly ML sync. Escalation path to Tech Lead for resource conflicts.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Sufficient historical quiz data before adaptive algorithm is tuned</w:t>
            </w:r>
          </w:p>
          <w:p>
            <w:pPr>
              <w:spacing w:after="30" w:before="30"/>
            </w:pPr>
            <w:r>
              <w:rPr>
                <w:rFonts w:ascii="Arial" w:cs="Arial" w:eastAsia="Arial" w:hAnsi="Arial"/>
                <w:b w:val="false"/>
                <w:bCs w:val="false"/>
                <w:color w:val="111827"/>
                <w:sz w:val="18"/>
                <w:szCs w:val="18"/>
              </w:rPr>
              <w:t xml:space="preserve">Clear mathematical spec for readiness scoring model</w:t>
            </w:r>
          </w:p>
          <w:p>
            <w:pPr>
              <w:spacing w:after="30" w:before="30"/>
            </w:pPr>
            <w:r>
              <w:rPr>
                <w:rFonts w:ascii="Arial" w:cs="Arial" w:eastAsia="Arial" w:hAnsi="Arial"/>
                <w:b w:val="false"/>
                <w:bCs w:val="false"/>
                <w:color w:val="111827"/>
                <w:sz w:val="18"/>
                <w:szCs w:val="18"/>
              </w:rPr>
              <w:t xml:space="preserve">Performance targets for analytics APIs are defined before implementation</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Adaptive engine underperforms if data quality is poor at launch</w:t>
            </w:r>
          </w:p>
          <w:p>
            <w:pPr>
              <w:spacing w:after="30" w:before="30"/>
            </w:pPr>
            <w:r>
              <w:rPr>
                <w:rFonts w:ascii="Arial" w:cs="Arial" w:eastAsia="Arial" w:hAnsi="Arial"/>
                <w:b w:val="false"/>
                <w:bCs w:val="false"/>
                <w:color w:val="111827"/>
                <w:sz w:val="18"/>
                <w:szCs w:val="18"/>
              </w:rPr>
              <w:t xml:space="preserve">Readiness score inaccuracy damages premium value proposition</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14"/>
              <w:left w:val="single" w:color="1A3A8F" w:sz="14"/>
              <w:bottom w:val="single" w:color="1A3A8F" w:sz="14"/>
              <w:right w:val="single" w:color="1A3A8F" w:sz="14"/>
            </w:tcBorders>
            <w:shd w:fill="1A3A8F" w:val="clear"/>
            <w:tcMar>
              <w:top w:type="dxa" w:w="0"/>
              <w:left w:type="dxa" w:w="0"/>
              <w:bottom w:type="dxa" w:w="0"/>
              <w:right w:type="dxa" w:w="0"/>
            </w:tcMar>
          </w:tcPr>
          <w:p>
            <w:r>
              <w:rPr>
                <w:rFonts w:ascii="Arial" w:cs="Arial" w:eastAsia="Arial" w:hAnsi="Arial"/>
                <w:b/>
                <w:bCs/>
                <w:color w:val="FFFFFF"/>
                <w:sz w:val="17"/>
                <w:szCs w:val="17"/>
              </w:rPr>
              <w:t xml:space="preserve">  S-07  </w:t>
            </w:r>
            <w:r>
              <w:rPr>
                <w:rFonts w:ascii="Arial" w:cs="Arial" w:eastAsia="Arial" w:hAnsi="Arial"/>
                <w:b/>
                <w:bCs/>
                <w:color w:val="FFFFFF"/>
                <w:sz w:val="20"/>
                <w:szCs w:val="20"/>
              </w:rPr>
              <w:t xml:space="preserve">DevOps / Infrastructure</w:t>
            </w:r>
            <w:r>
              <w:rPr>
                <w:rFonts w:ascii="Arial" w:cs="Arial" w:eastAsia="Arial" w:hAnsi="Arial"/>
                <w:color w:val="FFFFFF"/>
                <w:sz w:val="17"/>
                <w:szCs w:val="17"/>
              </w:rPr>
              <w:t xml:space="preserve">  —  Platform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Supportive — Wants clean, reproducible environments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Collaborate — Sprint 0 co-owner. Weekly infrastructure sync. All environment changes reviewed by DevOps before merge.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IaC-first approach with no manual server configuration</w:t>
            </w:r>
          </w:p>
          <w:p>
            <w:pPr>
              <w:spacing w:after="30" w:before="30"/>
            </w:pPr>
            <w:r>
              <w:rPr>
                <w:rFonts w:ascii="Arial" w:cs="Arial" w:eastAsia="Arial" w:hAnsi="Arial"/>
                <w:b w:val="false"/>
                <w:bCs w:val="false"/>
                <w:color w:val="111827"/>
                <w:sz w:val="18"/>
                <w:szCs w:val="18"/>
              </w:rPr>
              <w:t xml:space="preserve">CI/CD pipeline requirements defined before Sprint 0 ends</w:t>
            </w:r>
          </w:p>
          <w:p>
            <w:pPr>
              <w:spacing w:after="30" w:before="30"/>
            </w:pPr>
            <w:r>
              <w:rPr>
                <w:rFonts w:ascii="Arial" w:cs="Arial" w:eastAsia="Arial" w:hAnsi="Arial"/>
                <w:b w:val="false"/>
                <w:bCs w:val="false"/>
                <w:color w:val="111827"/>
                <w:sz w:val="18"/>
                <w:szCs w:val="18"/>
              </w:rPr>
              <w:t xml:space="preserve">Cost visibility and alerts configured from day one</w:t>
            </w:r>
          </w:p>
          <w:p>
            <w:pPr>
              <w:spacing w:after="30" w:before="30"/>
            </w:pPr>
            <w:r>
              <w:rPr>
                <w:rFonts w:ascii="Arial" w:cs="Arial" w:eastAsia="Arial" w:hAnsi="Arial"/>
                <w:b w:val="false"/>
                <w:bCs w:val="false"/>
                <w:color w:val="111827"/>
                <w:sz w:val="18"/>
                <w:szCs w:val="18"/>
              </w:rPr>
              <w:t xml:space="preserve">Security requirements translated into infrastructure controls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Environment drift between dev/staging/prod causes release delays</w:t>
            </w:r>
          </w:p>
          <w:p>
            <w:pPr>
              <w:spacing w:after="30" w:before="30"/>
            </w:pPr>
            <w:r>
              <w:rPr>
                <w:rFonts w:ascii="Arial" w:cs="Arial" w:eastAsia="Arial" w:hAnsi="Arial"/>
                <w:b w:val="false"/>
                <w:bCs w:val="false"/>
                <w:color w:val="111827"/>
                <w:sz w:val="18"/>
                <w:szCs w:val="18"/>
              </w:rPr>
              <w:t xml:space="preserve">Security misconfigurations if not looped in early on compliance requirements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p>
      <w:pPr>
        <w:shd w:fill="0F4C75" w:val="clear"/>
        <w:spacing w:after="120" w:before="260"/>
      </w:pPr>
      <w:r>
        <w:rPr>
          <w:rFonts w:ascii="Arial" w:cs="Arial" w:eastAsia="Arial" w:hAnsi="Arial"/>
          <w:b/>
          <w:bCs/>
          <w:color w:val="FFFFFF"/>
          <w:sz w:val="22"/>
          <w:szCs w:val="22"/>
        </w:rPr>
        <w:t xml:space="preserve">  External Primary Users  </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4"/>
              <w:left w:val="single" w:color="0F4C75" w:sz="14"/>
              <w:bottom w:val="single" w:color="0F4C75" w:sz="14"/>
              <w:right w:val="single" w:color="0F4C75" w:sz="14"/>
            </w:tcBorders>
            <w:shd w:fill="0F4C75" w:val="clear"/>
            <w:tcMar>
              <w:top w:type="dxa" w:w="0"/>
              <w:left w:type="dxa" w:w="0"/>
              <w:bottom w:type="dxa" w:w="0"/>
              <w:right w:type="dxa" w:w="0"/>
            </w:tcMar>
          </w:tcPr>
          <w:p>
            <w:r>
              <w:rPr>
                <w:rFonts w:ascii="Arial" w:cs="Arial" w:eastAsia="Arial" w:hAnsi="Arial"/>
                <w:b/>
                <w:bCs/>
                <w:color w:val="FFFFFF"/>
                <w:sz w:val="17"/>
                <w:szCs w:val="17"/>
              </w:rPr>
              <w:t xml:space="preserve">  S-16–18  </w:t>
            </w:r>
            <w:r>
              <w:rPr>
                <w:rFonts w:ascii="Arial" w:cs="Arial" w:eastAsia="Arial" w:hAnsi="Arial"/>
                <w:b/>
                <w:bCs/>
                <w:color w:val="FFFFFF"/>
                <w:sz w:val="20"/>
                <w:szCs w:val="20"/>
              </w:rPr>
              <w:t xml:space="preserve">Student Users (Free, Premium, Institution)</w:t>
            </w:r>
            <w:r>
              <w:rPr>
                <w:rFonts w:ascii="Arial" w:cs="Arial" w:eastAsia="Arial" w:hAnsi="Arial"/>
                <w:color w:val="FFFFFF"/>
                <w:sz w:val="17"/>
                <w:szCs w:val="17"/>
              </w:rPr>
              <w:t xml:space="preserve">  —  Primary Platform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Low (individual)</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Low</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7F1D1D"/>
                <w:sz w:val="18"/>
                <w:szCs w:val="18"/>
              </w:rPr>
              <w:t xml:space="preserve">Varied — From curious to highly motivated</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Inform + Consult — Beta user group for UAT. In-app feedback prompts. NPS surveys at key milestones (30-day, 90-day).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Platform is genuinely personalised — not generic</w:t>
            </w:r>
          </w:p>
          <w:p>
            <w:pPr>
              <w:spacing w:after="30" w:before="30"/>
            </w:pPr>
            <w:r>
              <w:rPr>
                <w:rFonts w:ascii="Arial" w:cs="Arial" w:eastAsia="Arial" w:hAnsi="Arial"/>
                <w:b w:val="false"/>
                <w:bCs w:val="false"/>
                <w:color w:val="111827"/>
                <w:sz w:val="18"/>
                <w:szCs w:val="18"/>
              </w:rPr>
              <w:t xml:space="preserve">Progress is visible and measurable after every session</w:t>
            </w:r>
          </w:p>
          <w:p>
            <w:pPr>
              <w:spacing w:after="30" w:before="30"/>
            </w:pPr>
            <w:r>
              <w:rPr>
                <w:rFonts w:ascii="Arial" w:cs="Arial" w:eastAsia="Arial" w:hAnsi="Arial"/>
                <w:b w:val="false"/>
                <w:bCs w:val="false"/>
                <w:color w:val="111827"/>
                <w:sz w:val="18"/>
                <w:szCs w:val="18"/>
              </w:rPr>
              <w:t xml:space="preserve">Premium value is obvious and justifies the cost</w:t>
            </w:r>
          </w:p>
          <w:p>
            <w:pPr>
              <w:spacing w:after="30" w:before="30"/>
            </w:pPr>
            <w:r>
              <w:rPr>
                <w:rFonts w:ascii="Arial" w:cs="Arial" w:eastAsia="Arial" w:hAnsi="Arial"/>
                <w:b w:val="false"/>
                <w:bCs w:val="false"/>
                <w:color w:val="111827"/>
                <w:sz w:val="18"/>
                <w:szCs w:val="18"/>
              </w:rPr>
              <w:t xml:space="preserve">Platform works reliably on mobile — low latency, no crashes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Poor onboarding leads to early churn before value is experienced</w:t>
            </w:r>
          </w:p>
          <w:p>
            <w:pPr>
              <w:spacing w:after="30" w:before="30"/>
            </w:pPr>
            <w:r>
              <w:rPr>
                <w:rFonts w:ascii="Arial" w:cs="Arial" w:eastAsia="Arial" w:hAnsi="Arial"/>
                <w:b w:val="false"/>
                <w:bCs w:val="false"/>
                <w:color w:val="111827"/>
                <w:sz w:val="18"/>
                <w:szCs w:val="18"/>
              </w:rPr>
              <w:t xml:space="preserve">If readiness score feels inaccurate, trust collapses instantly</w:t>
            </w:r>
          </w:p>
          <w:p>
            <w:pPr>
              <w:spacing w:after="30" w:before="30"/>
            </w:pPr>
            <w:r>
              <w:rPr>
                <w:rFonts w:ascii="Arial" w:cs="Arial" w:eastAsia="Arial" w:hAnsi="Arial"/>
                <w:b w:val="false"/>
                <w:bCs w:val="false"/>
                <w:color w:val="111827"/>
                <w:sz w:val="18"/>
                <w:szCs w:val="18"/>
              </w:rPr>
              <w:t xml:space="preserve">Free tier that feels too limited before users experience value creates resentment</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4"/>
              <w:left w:val="single" w:color="0F4C75" w:sz="14"/>
              <w:bottom w:val="single" w:color="0F4C75" w:sz="14"/>
              <w:right w:val="single" w:color="0F4C75" w:sz="14"/>
            </w:tcBorders>
            <w:shd w:fill="0F4C75" w:val="clear"/>
            <w:tcMar>
              <w:top w:type="dxa" w:w="0"/>
              <w:left w:type="dxa" w:w="0"/>
              <w:bottom w:type="dxa" w:w="0"/>
              <w:right w:type="dxa" w:w="0"/>
            </w:tcMar>
          </w:tcPr>
          <w:p>
            <w:r>
              <w:rPr>
                <w:rFonts w:ascii="Arial" w:cs="Arial" w:eastAsia="Arial" w:hAnsi="Arial"/>
                <w:b/>
                <w:bCs/>
                <w:color w:val="FFFFFF"/>
                <w:sz w:val="17"/>
                <w:szCs w:val="17"/>
              </w:rPr>
              <w:t xml:space="preserve">  S-19–20  </w:t>
            </w:r>
            <w:r>
              <w:rPr>
                <w:rFonts w:ascii="Arial" w:cs="Arial" w:eastAsia="Arial" w:hAnsi="Arial"/>
                <w:b/>
                <w:bCs/>
                <w:color w:val="FFFFFF"/>
                <w:sz w:val="20"/>
                <w:szCs w:val="20"/>
              </w:rPr>
              <w:t xml:space="preserve">Expert Creators &amp; Teachers</w:t>
            </w:r>
            <w:r>
              <w:rPr>
                <w:rFonts w:ascii="Arial" w:cs="Arial" w:eastAsia="Arial" w:hAnsi="Arial"/>
                <w:color w:val="FFFFFF"/>
                <w:sz w:val="17"/>
                <w:szCs w:val="17"/>
              </w:rPr>
              <w:t xml:space="preserve">  —  Content Supply &amp; Community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Low (individual)</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Low</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Supportive with caveats — Need recognition and fast review turnaround</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Collaborate — Creator onboarding pack with clear guidelines. Monthly creator roundtable. Direct channel to moderation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Moderation SLA is fast enough that submitted content appears within 48 hours</w:t>
            </w:r>
          </w:p>
          <w:p>
            <w:pPr>
              <w:spacing w:after="30" w:before="30"/>
            </w:pPr>
            <w:r>
              <w:rPr>
                <w:rFonts w:ascii="Arial" w:cs="Arial" w:eastAsia="Arial" w:hAnsi="Arial"/>
                <w:b w:val="false"/>
                <w:bCs w:val="false"/>
                <w:color w:val="111827"/>
                <w:sz w:val="18"/>
                <w:szCs w:val="18"/>
              </w:rPr>
              <w:t xml:space="preserve">Platform gives them visibility and reputation within their subject community</w:t>
            </w:r>
          </w:p>
          <w:p>
            <w:pPr>
              <w:spacing w:after="30" w:before="30"/>
            </w:pPr>
            <w:r>
              <w:rPr>
                <w:rFonts w:ascii="Arial" w:cs="Arial" w:eastAsia="Arial" w:hAnsi="Arial"/>
                <w:b w:val="false"/>
                <w:bCs w:val="false"/>
                <w:color w:val="111827"/>
                <w:sz w:val="18"/>
                <w:szCs w:val="18"/>
              </w:rPr>
              <w:t xml:space="preserve">Feedback on rejected content is specific and actionable, not vague</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Content supply fails if top creators become frustrated with slow or opaque review process</w:t>
            </w:r>
          </w:p>
          <w:p>
            <w:pPr>
              <w:spacing w:after="30" w:before="30"/>
            </w:pPr>
            <w:r>
              <w:rPr>
                <w:rFonts w:ascii="Arial" w:cs="Arial" w:eastAsia="Arial" w:hAnsi="Arial"/>
                <w:b w:val="false"/>
                <w:bCs w:val="false"/>
                <w:color w:val="111827"/>
                <w:sz w:val="18"/>
                <w:szCs w:val="18"/>
              </w:rPr>
              <w:t xml:space="preserve">Question bank quality declines if creators churn before seeding is complete</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4"/>
              <w:left w:val="single" w:color="0F4C75" w:sz="14"/>
              <w:bottom w:val="single" w:color="0F4C75" w:sz="14"/>
              <w:right w:val="single" w:color="0F4C75" w:sz="14"/>
            </w:tcBorders>
            <w:shd w:fill="0F4C75" w:val="clear"/>
            <w:tcMar>
              <w:top w:type="dxa" w:w="0"/>
              <w:left w:type="dxa" w:w="0"/>
              <w:bottom w:type="dxa" w:w="0"/>
              <w:right w:type="dxa" w:w="0"/>
            </w:tcMar>
          </w:tcPr>
          <w:p>
            <w:r>
              <w:rPr>
                <w:rFonts w:ascii="Arial" w:cs="Arial" w:eastAsia="Arial" w:hAnsi="Arial"/>
                <w:b/>
                <w:bCs/>
                <w:color w:val="FFFFFF"/>
                <w:sz w:val="17"/>
                <w:szCs w:val="17"/>
              </w:rPr>
              <w:t xml:space="preserve">  S-22  </w:t>
            </w:r>
            <w:r>
              <w:rPr>
                <w:rFonts w:ascii="Arial" w:cs="Arial" w:eastAsia="Arial" w:hAnsi="Arial"/>
                <w:b/>
                <w:bCs/>
                <w:color w:val="FFFFFF"/>
                <w:sz w:val="20"/>
                <w:szCs w:val="20"/>
              </w:rPr>
              <w:t xml:space="preserve">Institution Admins</w:t>
            </w:r>
            <w:r>
              <w:rPr>
                <w:rFonts w:ascii="Arial" w:cs="Arial" w:eastAsia="Arial" w:hAnsi="Arial"/>
                <w:color w:val="FFFFFF"/>
                <w:sz w:val="17"/>
                <w:szCs w:val="17"/>
              </w:rPr>
              <w:t xml:space="preserve">  —  B2B Customer — Purchase Decision Maker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Champion once onboarded — Critical pre-sale concern</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 Closely — White-glove onboarding for first 5 institutions. Monthly check-in call. Dedicated Slack channel per institution.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Onboarding is frictionless — student import, admin setup in under one day</w:t>
            </w:r>
          </w:p>
          <w:p>
            <w:pPr>
              <w:spacing w:after="30" w:before="30"/>
            </w:pPr>
            <w:r>
              <w:rPr>
                <w:rFonts w:ascii="Arial" w:cs="Arial" w:eastAsia="Arial" w:hAnsi="Arial"/>
                <w:b w:val="false"/>
                <w:bCs w:val="false"/>
                <w:color w:val="111827"/>
                <w:sz w:val="18"/>
                <w:szCs w:val="18"/>
              </w:rPr>
              <w:t xml:space="preserve">Batch analytics are genuinely actionable for teachers, not just decorative</w:t>
            </w:r>
          </w:p>
          <w:p>
            <w:pPr>
              <w:spacing w:after="30" w:before="30"/>
            </w:pPr>
            <w:r>
              <w:rPr>
                <w:rFonts w:ascii="Arial" w:cs="Arial" w:eastAsia="Arial" w:hAnsi="Arial"/>
                <w:b w:val="false"/>
                <w:bCs w:val="false"/>
                <w:color w:val="111827"/>
                <w:sz w:val="18"/>
                <w:szCs w:val="18"/>
              </w:rPr>
              <w:t xml:space="preserve">Billing is transparent and invoice generation is self-service</w:t>
            </w:r>
          </w:p>
          <w:p>
            <w:pPr>
              <w:spacing w:after="30" w:before="30"/>
            </w:pPr>
            <w:r>
              <w:rPr>
                <w:rFonts w:ascii="Arial" w:cs="Arial" w:eastAsia="Arial" w:hAnsi="Arial"/>
                <w:b w:val="false"/>
                <w:bCs w:val="false"/>
                <w:color w:val="111827"/>
                <w:sz w:val="18"/>
                <w:szCs w:val="18"/>
              </w:rPr>
              <w:t xml:space="preserve">Dedicated support contact during onboarding period</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Lost revenue and negative word-of-mouth if first institution onboarding is poor</w:t>
            </w:r>
          </w:p>
          <w:p>
            <w:pPr>
              <w:spacing w:after="30" w:before="30"/>
            </w:pPr>
            <w:r>
              <w:rPr>
                <w:rFonts w:ascii="Arial" w:cs="Arial" w:eastAsia="Arial" w:hAnsi="Arial"/>
                <w:b w:val="false"/>
                <w:bCs w:val="false"/>
                <w:color w:val="111827"/>
                <w:sz w:val="18"/>
                <w:szCs w:val="18"/>
              </w:rPr>
              <w:t xml:space="preserve">Competitive evaluation failure if admin UX is weak compared to incumbent tools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4"/>
              <w:left w:val="single" w:color="0F4C75" w:sz="14"/>
              <w:bottom w:val="single" w:color="0F4C75" w:sz="14"/>
              <w:right w:val="single" w:color="0F4C75" w:sz="14"/>
            </w:tcBorders>
            <w:shd w:fill="0F4C75" w:val="clear"/>
            <w:tcMar>
              <w:top w:type="dxa" w:w="0"/>
              <w:left w:type="dxa" w:w="0"/>
              <w:bottom w:type="dxa" w:w="0"/>
              <w:right w:type="dxa" w:w="0"/>
            </w:tcMar>
          </w:tcPr>
          <w:p>
            <w:r>
              <w:rPr>
                <w:rFonts w:ascii="Arial" w:cs="Arial" w:eastAsia="Arial" w:hAnsi="Arial"/>
                <w:b/>
                <w:bCs/>
                <w:color w:val="FFFFFF"/>
                <w:sz w:val="17"/>
                <w:szCs w:val="17"/>
              </w:rPr>
              <w:t xml:space="preserve">  S-21  </w:t>
            </w:r>
            <w:r>
              <w:rPr>
                <w:rFonts w:ascii="Arial" w:cs="Arial" w:eastAsia="Arial" w:hAnsi="Arial"/>
                <w:b/>
                <w:bCs/>
                <w:color w:val="FFFFFF"/>
                <w:sz w:val="20"/>
                <w:szCs w:val="20"/>
              </w:rPr>
              <w:t xml:space="preserve">Moderators</w:t>
            </w:r>
            <w:r>
              <w:rPr>
                <w:rFonts w:ascii="Arial" w:cs="Arial" w:eastAsia="Arial" w:hAnsi="Arial"/>
                <w:color w:val="FFFFFF"/>
                <w:sz w:val="17"/>
                <w:szCs w:val="17"/>
              </w:rPr>
              <w:t xml:space="preserve">  —  Content Quality Gatekeepers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4532D"/>
                <w:sz w:val="18"/>
                <w:szCs w:val="18"/>
              </w:rPr>
              <w:t xml:space="preserve">Supportive — Want clear queue and fast tools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Collaborate — Moderator onboarding with guidelines and worked examples. Weekly queue review. SLA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Queue management tools are fast and efficient — no clicking through 10 screens per review</w:t>
            </w:r>
          </w:p>
          <w:p>
            <w:pPr>
              <w:spacing w:after="30" w:before="30"/>
            </w:pPr>
            <w:r>
              <w:rPr>
                <w:rFonts w:ascii="Arial" w:cs="Arial" w:eastAsia="Arial" w:hAnsi="Arial"/>
                <w:b w:val="false"/>
                <w:bCs w:val="false"/>
                <w:color w:val="111827"/>
                <w:sz w:val="18"/>
                <w:szCs w:val="18"/>
              </w:rPr>
              <w:t xml:space="preserve">Rejection reasons are pre-populated so moderators are consistent</w:t>
            </w:r>
          </w:p>
          <w:p>
            <w:pPr>
              <w:spacing w:after="30" w:before="30"/>
            </w:pPr>
            <w:r>
              <w:rPr>
                <w:rFonts w:ascii="Arial" w:cs="Arial" w:eastAsia="Arial" w:hAnsi="Arial"/>
                <w:b w:val="false"/>
                <w:bCs w:val="false"/>
                <w:color w:val="111827"/>
                <w:sz w:val="18"/>
                <w:szCs w:val="18"/>
              </w:rPr>
              <w:t xml:space="preserve">Escalation path to platform admin is clear and acknowledged quickly</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Moderation backlog grows if tools are slow, leading to creator frustration and content delays</w:t>
            </w:r>
          </w:p>
          <w:p>
            <w:pPr>
              <w:spacing w:after="30" w:before="30"/>
            </w:pPr>
            <w:r>
              <w:rPr>
                <w:rFonts w:ascii="Arial" w:cs="Arial" w:eastAsia="Arial" w:hAnsi="Arial"/>
                <w:b w:val="false"/>
                <w:bCs w:val="false"/>
                <w:color w:val="111827"/>
                <w:sz w:val="18"/>
                <w:szCs w:val="18"/>
              </w:rPr>
              <w:t xml:space="preserve">Inconsistent moderation decisions if guidelines are unclear</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p>
      <w:pPr>
        <w:shd w:fill="1E293B" w:val="clear"/>
        <w:spacing w:after="120" w:before="260"/>
      </w:pPr>
      <w:r>
        <w:rPr>
          <w:rFonts w:ascii="Arial" w:cs="Arial" w:eastAsia="Arial" w:hAnsi="Arial"/>
          <w:b/>
          <w:bCs/>
          <w:color w:val="FFFFFF"/>
          <w:sz w:val="22"/>
          <w:szCs w:val="22"/>
        </w:rPr>
        <w:t xml:space="preserve">  External Secondary &amp; Regulatory  </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1E293B" w:val="clear"/>
            <w:tcMar>
              <w:top w:type="dxa" w:w="0"/>
              <w:left w:type="dxa" w:w="0"/>
              <w:bottom w:type="dxa" w:w="0"/>
              <w:right w:type="dxa" w:w="0"/>
            </w:tcMar>
          </w:tcPr>
          <w:p>
            <w:r>
              <w:rPr>
                <w:rFonts w:ascii="Arial" w:cs="Arial" w:eastAsia="Arial" w:hAnsi="Arial"/>
                <w:b/>
                <w:bCs/>
                <w:color w:val="FFFFFF"/>
                <w:sz w:val="17"/>
                <w:szCs w:val="17"/>
              </w:rPr>
              <w:t xml:space="preserve">  S-28  </w:t>
            </w:r>
            <w:r>
              <w:rPr>
                <w:rFonts w:ascii="Arial" w:cs="Arial" w:eastAsia="Arial" w:hAnsi="Arial"/>
                <w:b/>
                <w:bCs/>
                <w:color w:val="FFFFFF"/>
                <w:sz w:val="20"/>
                <w:szCs w:val="20"/>
              </w:rPr>
              <w:t xml:space="preserve">Examination Boards (NTA, UPSC, CBSE)</w:t>
            </w:r>
            <w:r>
              <w:rPr>
                <w:rFonts w:ascii="Arial" w:cs="Arial" w:eastAsia="Arial" w:hAnsi="Arial"/>
                <w:color w:val="FFFFFF"/>
                <w:sz w:val="17"/>
                <w:szCs w:val="17"/>
              </w:rPr>
              <w:t xml:space="preserve">  —  Syllabus Content Authority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2400E"/>
                <w:sz w:val="17"/>
                <w:szCs w:val="17"/>
              </w:rPr>
              <w:t xml:space="preserve">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78350F"/>
                <w:sz w:val="18"/>
                <w:szCs w:val="18"/>
              </w:rPr>
              <w:t xml:space="preserve">Neutral — Unaware of platform, but syllabus accuracy is critical</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Monitor — Assign internal owner to track official exam announcements. Quarterly syllabus accuracy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Platform syllabus reflects official published syllabuses accurately</w:t>
            </w:r>
          </w:p>
          <w:p>
            <w:pPr>
              <w:spacing w:after="30" w:before="30"/>
            </w:pPr>
            <w:r>
              <w:rPr>
                <w:rFonts w:ascii="Arial" w:cs="Arial" w:eastAsia="Arial" w:hAnsi="Arial"/>
                <w:b w:val="false"/>
                <w:bCs w:val="false"/>
                <w:color w:val="111827"/>
                <w:sz w:val="18"/>
                <w:szCs w:val="18"/>
              </w:rPr>
              <w:t xml:space="preserve">Any changes to exam patterns are incorporated within 2 weeks of announcement</w:t>
            </w:r>
          </w:p>
          <w:p>
            <w:pPr>
              <w:spacing w:after="30" w:before="30"/>
            </w:pPr>
            <w:r>
              <w:rPr>
                <w:rFonts w:ascii="Arial" w:cs="Arial" w:eastAsia="Arial" w:hAnsi="Arial"/>
                <w:b w:val="false"/>
                <w:bCs w:val="false"/>
                <w:color w:val="111827"/>
                <w:sz w:val="18"/>
                <w:szCs w:val="18"/>
              </w:rPr>
              <w:t xml:space="preserve">No copyright infringement on official question papers</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Syllabus drift damages platform credibility with students and institutions</w:t>
            </w:r>
          </w:p>
          <w:p>
            <w:pPr>
              <w:spacing w:after="30" w:before="30"/>
            </w:pPr>
            <w:r>
              <w:rPr>
                <w:rFonts w:ascii="Arial" w:cs="Arial" w:eastAsia="Arial" w:hAnsi="Arial"/>
                <w:b w:val="false"/>
                <w:bCs w:val="false"/>
                <w:color w:val="111827"/>
                <w:sz w:val="18"/>
                <w:szCs w:val="18"/>
              </w:rPr>
              <w:t xml:space="preserve">Copyright infringement risk if official paper questions are used without licence</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1E293B" w:val="clear"/>
            <w:tcMar>
              <w:top w:type="dxa" w:w="0"/>
              <w:left w:type="dxa" w:w="0"/>
              <w:bottom w:type="dxa" w:w="0"/>
              <w:right w:type="dxa" w:w="0"/>
            </w:tcMar>
          </w:tcPr>
          <w:p>
            <w:r>
              <w:rPr>
                <w:rFonts w:ascii="Arial" w:cs="Arial" w:eastAsia="Arial" w:hAnsi="Arial"/>
                <w:b/>
                <w:bCs/>
                <w:color w:val="FFFFFF"/>
                <w:sz w:val="17"/>
                <w:szCs w:val="17"/>
              </w:rPr>
              <w:t xml:space="preserve">  S-27  </w:t>
            </w:r>
            <w:r>
              <w:rPr>
                <w:rFonts w:ascii="Arial" w:cs="Arial" w:eastAsia="Arial" w:hAnsi="Arial"/>
                <w:b/>
                <w:bCs/>
                <w:color w:val="FFFFFF"/>
                <w:sz w:val="20"/>
                <w:szCs w:val="20"/>
              </w:rPr>
              <w:t xml:space="preserve">Data Protection Authority</w:t>
            </w:r>
            <w:r>
              <w:rPr>
                <w:rFonts w:ascii="Arial" w:cs="Arial" w:eastAsia="Arial" w:hAnsi="Arial"/>
                <w:color w:val="FFFFFF"/>
                <w:sz w:val="17"/>
                <w:szCs w:val="17"/>
              </w:rPr>
              <w:t xml:space="preserve">  —  GDPR / DPDP Regulator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Influence</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Interest</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Power</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Attitude</w:t>
            </w:r>
          </w:p>
        </w:tc>
        <w:tc>
          <w:tcPr>
            <w:tcW w:type="dxa" w:w="312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Engagement Strategy</w:t>
            </w:r>
          </w:p>
        </w:tc>
      </w:tr>
      <w:tr>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065F46"/>
                <w:sz w:val="17"/>
                <w:szCs w:val="17"/>
              </w:rPr>
              <w:t xml:space="preserve">Medium</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991B1B"/>
                <w:sz w:val="17"/>
                <w:szCs w:val="17"/>
              </w:rPr>
              <w:t xml:space="preserve">Very High</w:t>
            </w:r>
          </w:p>
        </w:tc>
        <w:tc>
          <w:tcPr>
            <w:tcW w:type="dxa" w:w="1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78350F"/>
                <w:sz w:val="18"/>
                <w:szCs w:val="18"/>
              </w:rPr>
              <w:t xml:space="preserve">Neutral — Compliance is binary</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Monitor — Legal review of ToS, Privacy Policy, and DPAs before launch. Annual compliance audit. Data breach response plan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Key Needs &amp; Expectations</w:t>
            </w:r>
          </w:p>
        </w:tc>
        <w:tc>
          <w:tcPr>
            <w:tcW w:type="dxa" w:w="312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Risks if Disengaged</w:t>
            </w:r>
          </w:p>
        </w:tc>
        <w:tc>
          <w:tcPr>
            <w:tcW w:type="dxa" w:w="312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Communication</w:t>
            </w:r>
          </w:p>
        </w:tc>
      </w:tr>
      <w:tr>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Platform is demonstrably compliant with GDPR / India DPDP before launch</w:t>
            </w:r>
          </w:p>
          <w:p>
            <w:pPr>
              <w:spacing w:after="30" w:before="30"/>
            </w:pPr>
            <w:r>
              <w:rPr>
                <w:rFonts w:ascii="Arial" w:cs="Arial" w:eastAsia="Arial" w:hAnsi="Arial"/>
                <w:b w:val="false"/>
                <w:bCs w:val="false"/>
                <w:color w:val="111827"/>
                <w:sz w:val="18"/>
                <w:szCs w:val="18"/>
              </w:rPr>
              <w:t xml:space="preserve">Data subject rights (access, erasure, portability) are automated, not manual</w:t>
            </w:r>
          </w:p>
          <w:p>
            <w:pPr>
              <w:spacing w:after="30" w:before="30"/>
            </w:pPr>
            <w:r>
              <w:rPr>
                <w:rFonts w:ascii="Arial" w:cs="Arial" w:eastAsia="Arial" w:hAnsi="Arial"/>
                <w:b w:val="false"/>
                <w:bCs w:val="false"/>
                <w:color w:val="111827"/>
                <w:sz w:val="18"/>
                <w:szCs w:val="18"/>
              </w:rPr>
              <w:t xml:space="preserve">Data processing agreements with all third parties are executed before launch</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111827"/>
                <w:sz w:val="18"/>
                <w:szCs w:val="18"/>
              </w:rPr>
              <w:t xml:space="preserve">Regulatory fine or enforcement action if launch occurs without GDPR/DPDP compliance in place</w:t>
            </w:r>
          </w:p>
          <w:p>
            <w:pPr>
              <w:spacing w:after="30" w:before="30"/>
            </w:pPr>
            <w:r>
              <w:rPr>
                <w:rFonts w:ascii="Arial" w:cs="Arial" w:eastAsia="Arial" w:hAnsi="Arial"/>
                <w:b w:val="false"/>
                <w:bCs w:val="false"/>
                <w:color w:val="111827"/>
                <w:sz w:val="18"/>
                <w:szCs w:val="18"/>
              </w:rPr>
              <w:t xml:space="preserve">Reputational damage disproportionate for a new platform if data incident occurs at launch</w:t>
            </w:r>
          </w:p>
        </w:tc>
        <w:tc>
          <w:tcPr>
            <w:tcW w:type="dxa" w:w="312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tc>
      </w:tr>
    </w:tbl>
    <w:p>
      <w:pPr>
        <w:spacing w:after="0" w:before="8"/>
      </w:pPr>
      <w:r>
        <w:rPr>
          <w:rFonts w:ascii="Arial" w:cs="Arial" w:eastAsia="Arial" w:hAnsi="Arial"/>
          <w:sz w:val="20"/>
          <w:szCs w:val="20"/>
        </w:rPr>
        <w:t xml:space="preserve"/>
      </w:r>
    </w:p>
    <w:p>
      <w:r>
        <w:br w:type="page"/>
      </w:r>
    </w:p>
    <w:p>
      <w:pPr>
        <w:pStyle w:val="Heading1"/>
        <w:spacing w:after="140" w:before="360"/>
      </w:pPr>
      <w:r>
        <w:rPr>
          <w:rFonts w:ascii="Arial" w:cs="Arial" w:eastAsia="Arial" w:hAnsi="Arial"/>
          <w:b/>
          <w:bCs/>
          <w:color w:val="0D1B4B"/>
          <w:sz w:val="20"/>
          <w:szCs w:val="20"/>
        </w:rPr>
        <w:t xml:space="preserve">4. Influence–Interest Grid</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Stakeholders are positioned on a 2×2 Influence–Interest grid. Position determines the primary engagement strategy. This grid should be reviewed and updated at each phase gate as relationships evolve.</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High Influence / High Interest → MANAGE CLOSELY</w:t>
            </w:r>
          </w:p>
        </w:tc>
        <w:tc>
          <w:tcPr>
            <w:tcW w:type="dxa" w:w="468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High Influence / Low Interest → KEEP SATISFIED</w:t>
            </w:r>
          </w:p>
        </w:tc>
      </w:tr>
      <w:tr>
        <w:tc>
          <w:tcPr>
            <w:tcW w:type="dxa" w:w="468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0D1B4B"/>
                <w:sz w:val="17"/>
                <w:szCs w:val="17"/>
              </w:rPr>
              <w:t xml:space="preserve">Stakeholders:</w:t>
            </w:r>
          </w:p>
          <w:p>
            <w:pPr>
              <w:pStyle w:val="ListParagraph"/>
              <w:numPr>
                <w:ilvl w:val="0"/>
                <w:numId w:val="2"/>
              </w:numPr>
              <w:spacing w:after="30" w:before="30"/>
            </w:pPr>
            <w:r>
              <w:rPr>
                <w:rFonts w:ascii="Arial" w:cs="Arial" w:eastAsia="Arial" w:hAnsi="Arial"/>
                <w:sz w:val="17"/>
                <w:szCs w:val="17"/>
              </w:rPr>
              <w:t xml:space="preserve">S-01 — Business Owner / Sponsor</w:t>
            </w:r>
          </w:p>
          <w:p>
            <w:pPr>
              <w:pStyle w:val="ListParagraph"/>
              <w:numPr>
                <w:ilvl w:val="0"/>
                <w:numId w:val="2"/>
              </w:numPr>
              <w:spacing w:after="30" w:before="30"/>
            </w:pPr>
            <w:r>
              <w:rPr>
                <w:rFonts w:ascii="Arial" w:cs="Arial" w:eastAsia="Arial" w:hAnsi="Arial"/>
                <w:sz w:val="17"/>
                <w:szCs w:val="17"/>
              </w:rPr>
              <w:t xml:space="preserve">S-02 — Product Owner</w:t>
            </w:r>
          </w:p>
          <w:p>
            <w:pPr>
              <w:pStyle w:val="ListParagraph"/>
              <w:numPr>
                <w:ilvl w:val="0"/>
                <w:numId w:val="2"/>
              </w:numPr>
              <w:spacing w:after="30" w:before="30"/>
            </w:pPr>
            <w:r>
              <w:rPr>
                <w:rFonts w:ascii="Arial" w:cs="Arial" w:eastAsia="Arial" w:hAnsi="Arial"/>
                <w:sz w:val="17"/>
                <w:szCs w:val="17"/>
              </w:rPr>
              <w:t xml:space="preserve">S-03 — Engineering Lead</w:t>
            </w:r>
          </w:p>
          <w:p>
            <w:pPr>
              <w:pStyle w:val="ListParagraph"/>
              <w:numPr>
                <w:ilvl w:val="0"/>
                <w:numId w:val="2"/>
              </w:numPr>
              <w:spacing w:after="30" w:before="30"/>
            </w:pPr>
            <w:r>
              <w:rPr>
                <w:rFonts w:ascii="Arial" w:cs="Arial" w:eastAsia="Arial" w:hAnsi="Arial"/>
                <w:sz w:val="17"/>
                <w:szCs w:val="17"/>
              </w:rPr>
              <w:t xml:space="preserve">S-22 — Institution Admins</w:t>
            </w:r>
          </w:p>
          <w:p>
            <w:pPr>
              <w:pStyle w:val="ListParagraph"/>
              <w:numPr>
                <w:ilvl w:val="0"/>
                <w:numId w:val="2"/>
              </w:numPr>
              <w:spacing w:after="30" w:before="30"/>
            </w:pPr>
            <w:r>
              <w:rPr>
                <w:rFonts w:ascii="Arial" w:cs="Arial" w:eastAsia="Arial" w:hAnsi="Arial"/>
                <w:sz w:val="17"/>
                <w:szCs w:val="17"/>
              </w:rPr>
              <w:t xml:space="preserve">S-27 — Data Protection Authority</w:t>
            </w:r>
          </w:p>
          <w:p>
            <w:pPr>
              <w:pStyle w:val="ListParagraph"/>
              <w:numPr>
                <w:ilvl w:val="0"/>
                <w:numId w:val="2"/>
              </w:numPr>
              <w:spacing w:after="30" w:before="30"/>
            </w:pPr>
            <w:r>
              <w:rPr>
                <w:rFonts w:ascii="Arial" w:cs="Arial" w:eastAsia="Arial" w:hAnsi="Arial"/>
                <w:sz w:val="17"/>
                <w:szCs w:val="17"/>
              </w:rPr>
              <w:t xml:space="preserve">S-28 — Examination Boards</w:t>
            </w:r>
          </w:p>
          <w:p>
            <w:pPr>
              <w:spacing w:after="0" w:before="40"/>
            </w:pPr>
            <w:r>
              <w:rPr>
                <w:rFonts w:ascii="Arial" w:cs="Arial" w:eastAsia="Arial" w:hAnsi="Arial"/>
                <w:sz w:val="20"/>
                <w:szCs w:val="20"/>
              </w:rPr>
              <w:t xml:space="preserve"/>
            </w:r>
          </w:p>
          <w:p>
            <w:r>
              <w:rPr>
                <w:rFonts w:ascii="Arial" w:cs="Arial" w:eastAsia="Arial" w:hAnsi="Arial"/>
                <w:b/>
                <w:bCs/>
                <w:color w:val="0D1B4B"/>
                <w:sz w:val="17"/>
                <w:szCs w:val="17"/>
              </w:rPr>
              <w:t xml:space="preserve">Strategy: </w:t>
            </w:r>
            <w:r>
              <w:rPr>
                <w:rFonts w:ascii="Arial" w:cs="Arial" w:eastAsia="Arial" w:hAnsi="Arial"/>
                <w:sz w:val="17"/>
                <w:szCs w:val="17"/>
              </w:rPr>
              <w:t xml:space="preserve">Weekly updates, immediate escalation on blockers, involved in all major decisions.</w:t>
            </w:r>
          </w:p>
        </w:tc>
        <w:tc>
          <w:tcPr>
            <w:tcW w:type="dxa" w:w="4680"/>
            <w:tcBorders>
              <w:top w:val="single" w:color="C7D2FE" w:sz="14"/>
              <w:left w:val="single" w:color="C7D2FE" w:sz="14"/>
              <w:bottom w:val="single" w:color="C7D2FE" w:sz="14"/>
              <w:right w:val="single" w:color="C7D2FE" w:sz="14"/>
            </w:tcBorders>
            <w:shd w:fill="E0F2FE" w:val="clear"/>
            <w:tcMar>
              <w:top w:type="dxa" w:w="80"/>
              <w:left w:type="dxa" w:w="120"/>
              <w:bottom w:type="dxa" w:w="80"/>
              <w:right w:type="dxa" w:w="120"/>
            </w:tcMar>
          </w:tcPr>
          <w:p>
            <w:r>
              <w:rPr>
                <w:rFonts w:ascii="Arial" w:cs="Arial" w:eastAsia="Arial" w:hAnsi="Arial"/>
                <w:b/>
                <w:bCs/>
                <w:color w:val="0F4C75"/>
                <w:sz w:val="17"/>
                <w:szCs w:val="17"/>
              </w:rPr>
              <w:t xml:space="preserve">Stakeholders:</w:t>
            </w:r>
          </w:p>
          <w:p>
            <w:pPr>
              <w:pStyle w:val="ListParagraph"/>
              <w:numPr>
                <w:ilvl w:val="0"/>
                <w:numId w:val="2"/>
              </w:numPr>
              <w:spacing w:after="30" w:before="30"/>
            </w:pPr>
            <w:r>
              <w:rPr>
                <w:rFonts w:ascii="Arial" w:cs="Arial" w:eastAsia="Arial" w:hAnsi="Arial"/>
                <w:sz w:val="17"/>
                <w:szCs w:val="17"/>
              </w:rPr>
              <w:t xml:space="preserve">S-13 — Project Manager</w:t>
            </w:r>
          </w:p>
          <w:p>
            <w:pPr>
              <w:pStyle w:val="ListParagraph"/>
              <w:numPr>
                <w:ilvl w:val="0"/>
                <w:numId w:val="2"/>
              </w:numPr>
              <w:spacing w:after="30" w:before="30"/>
            </w:pPr>
            <w:r>
              <w:rPr>
                <w:rFonts w:ascii="Arial" w:cs="Arial" w:eastAsia="Arial" w:hAnsi="Arial"/>
                <w:sz w:val="17"/>
                <w:szCs w:val="17"/>
              </w:rPr>
              <w:t xml:space="preserve">S-24 — Payment Service Provider (Stripe)</w:t>
            </w:r>
          </w:p>
          <w:p>
            <w:pPr>
              <w:pStyle w:val="ListParagraph"/>
              <w:numPr>
                <w:ilvl w:val="0"/>
                <w:numId w:val="2"/>
              </w:numPr>
              <w:spacing w:after="30" w:before="30"/>
            </w:pPr>
            <w:r>
              <w:rPr>
                <w:rFonts w:ascii="Arial" w:cs="Arial" w:eastAsia="Arial" w:hAnsi="Arial"/>
                <w:sz w:val="17"/>
                <w:szCs w:val="17"/>
              </w:rPr>
              <w:t xml:space="preserve">S-25 — Cloud Infrastructure (AWS)</w:t>
            </w:r>
          </w:p>
          <w:p>
            <w:pPr>
              <w:pStyle w:val="ListParagraph"/>
              <w:numPr>
                <w:ilvl w:val="0"/>
                <w:numId w:val="2"/>
              </w:numPr>
              <w:spacing w:after="30" w:before="30"/>
            </w:pPr>
            <w:r>
              <w:rPr>
                <w:rFonts w:ascii="Arial" w:cs="Arial" w:eastAsia="Arial" w:hAnsi="Arial"/>
                <w:sz w:val="17"/>
                <w:szCs w:val="17"/>
              </w:rPr>
              <w:t xml:space="preserve">S-30 — Investor / Funding Body</w:t>
            </w:r>
          </w:p>
          <w:p>
            <w:pPr>
              <w:pStyle w:val="ListParagraph"/>
              <w:numPr>
                <w:ilvl w:val="0"/>
                <w:numId w:val="2"/>
              </w:numPr>
              <w:spacing w:after="30" w:before="30"/>
            </w:pPr>
            <w:r>
              <w:rPr>
                <w:rFonts w:ascii="Arial" w:cs="Arial" w:eastAsia="Arial" w:hAnsi="Arial"/>
                <w:sz w:val="17"/>
                <w:szCs w:val="17"/>
              </w:rPr>
              <w:t xml:space="preserve">S-15 — Finance / Billing</w:t>
            </w:r>
          </w:p>
          <w:p>
            <w:pPr>
              <w:spacing w:after="0" w:before="40"/>
            </w:pPr>
            <w:r>
              <w:rPr>
                <w:rFonts w:ascii="Arial" w:cs="Arial" w:eastAsia="Arial" w:hAnsi="Arial"/>
                <w:sz w:val="20"/>
                <w:szCs w:val="20"/>
              </w:rPr>
              <w:t xml:space="preserve"/>
            </w:r>
          </w:p>
          <w:p>
            <w:r>
              <w:rPr>
                <w:rFonts w:ascii="Arial" w:cs="Arial" w:eastAsia="Arial" w:hAnsi="Arial"/>
                <w:b/>
                <w:bCs/>
                <w:color w:val="0F4C75"/>
                <w:sz w:val="17"/>
                <w:szCs w:val="17"/>
              </w:rPr>
              <w:t xml:space="preserve">Strategy: </w:t>
            </w:r>
            <w:r>
              <w:rPr>
                <w:rFonts w:ascii="Arial" w:cs="Arial" w:eastAsia="Arial" w:hAnsi="Arial"/>
                <w:sz w:val="17"/>
                <w:szCs w:val="17"/>
              </w:rPr>
              <w:t xml:space="preserve">Monthly updates, milestone reports, no day-to-day involvement required.</w:t>
            </w:r>
          </w:p>
        </w:tc>
      </w:tr>
      <w:tr>
        <w:tc>
          <w:tcPr>
            <w:tcW w:type="dxa" w:w="468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Low Influence / High Interest → KEEP INFORMED</w:t>
            </w:r>
          </w:p>
        </w:tc>
        <w:tc>
          <w:tcPr>
            <w:tcW w:type="dxa" w:w="468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Low Influence / Low Interest → MONITOR</w:t>
            </w:r>
          </w:p>
        </w:tc>
      </w:tr>
      <w:tr>
        <w:tc>
          <w:tcPr>
            <w:tcW w:type="dxa" w:w="4680"/>
            <w:tcBorders>
              <w:top w:val="single" w:color="C7D2FE" w:sz="14"/>
              <w:left w:val="single" w:color="C7D2FE" w:sz="14"/>
              <w:bottom w:val="single" w:color="C7D2FE" w:sz="14"/>
              <w:right w:val="single" w:color="C7D2FE" w:sz="14"/>
            </w:tcBorders>
            <w:shd w:fill="E0F2FE" w:val="clear"/>
            <w:tcMar>
              <w:top w:type="dxa" w:w="80"/>
              <w:left w:type="dxa" w:w="120"/>
              <w:bottom w:type="dxa" w:w="80"/>
              <w:right w:type="dxa" w:w="120"/>
            </w:tcMar>
          </w:tcPr>
          <w:p>
            <w:r>
              <w:rPr>
                <w:rFonts w:ascii="Arial" w:cs="Arial" w:eastAsia="Arial" w:hAnsi="Arial"/>
                <w:b/>
                <w:bCs/>
                <w:color w:val="1A3A8F"/>
                <w:sz w:val="17"/>
                <w:szCs w:val="17"/>
              </w:rPr>
              <w:t xml:space="preserve">Stakeholders:</w:t>
            </w:r>
          </w:p>
          <w:p>
            <w:pPr>
              <w:pStyle w:val="ListParagraph"/>
              <w:numPr>
                <w:ilvl w:val="0"/>
                <w:numId w:val="2"/>
              </w:numPr>
              <w:spacing w:after="25" w:before="25"/>
            </w:pPr>
            <w:r>
              <w:rPr>
                <w:rFonts w:ascii="Arial" w:cs="Arial" w:eastAsia="Arial" w:hAnsi="Arial"/>
                <w:sz w:val="17"/>
                <w:szCs w:val="17"/>
              </w:rPr>
              <w:t xml:space="preserve">S-04 — UI/UX Designer</w:t>
            </w:r>
          </w:p>
          <w:p>
            <w:pPr>
              <w:pStyle w:val="ListParagraph"/>
              <w:numPr>
                <w:ilvl w:val="0"/>
                <w:numId w:val="2"/>
              </w:numPr>
              <w:spacing w:after="25" w:before="25"/>
            </w:pPr>
            <w:r>
              <w:rPr>
                <w:rFonts w:ascii="Arial" w:cs="Arial" w:eastAsia="Arial" w:hAnsi="Arial"/>
                <w:sz w:val="17"/>
                <w:szCs w:val="17"/>
              </w:rPr>
              <w:t xml:space="preserve">S-05 — Frontend Engineers</w:t>
            </w:r>
          </w:p>
          <w:p>
            <w:pPr>
              <w:pStyle w:val="ListParagraph"/>
              <w:numPr>
                <w:ilvl w:val="0"/>
                <w:numId w:val="2"/>
              </w:numPr>
              <w:spacing w:after="25" w:before="25"/>
            </w:pPr>
            <w:r>
              <w:rPr>
                <w:rFonts w:ascii="Arial" w:cs="Arial" w:eastAsia="Arial" w:hAnsi="Arial"/>
                <w:sz w:val="17"/>
                <w:szCs w:val="17"/>
              </w:rPr>
              <w:t xml:space="preserve">S-06 — Mobile Engineers</w:t>
            </w:r>
          </w:p>
          <w:p>
            <w:pPr>
              <w:pStyle w:val="ListParagraph"/>
              <w:numPr>
                <w:ilvl w:val="0"/>
                <w:numId w:val="2"/>
              </w:numPr>
              <w:spacing w:after="25" w:before="25"/>
            </w:pPr>
            <w:r>
              <w:rPr>
                <w:rFonts w:ascii="Arial" w:cs="Arial" w:eastAsia="Arial" w:hAnsi="Arial"/>
                <w:sz w:val="17"/>
                <w:szCs w:val="17"/>
              </w:rPr>
              <w:t xml:space="preserve">S-07 — Backend Engineers</w:t>
            </w:r>
          </w:p>
          <w:p>
            <w:pPr>
              <w:pStyle w:val="ListParagraph"/>
              <w:numPr>
                <w:ilvl w:val="0"/>
                <w:numId w:val="2"/>
              </w:numPr>
              <w:spacing w:after="25" w:before="25"/>
            </w:pPr>
            <w:r>
              <w:rPr>
                <w:rFonts w:ascii="Arial" w:cs="Arial" w:eastAsia="Arial" w:hAnsi="Arial"/>
                <w:sz w:val="17"/>
                <w:szCs w:val="17"/>
              </w:rPr>
              <w:t xml:space="preserve">S-08 — DevOps / Infrastructure</w:t>
            </w:r>
          </w:p>
          <w:p>
            <w:pPr>
              <w:pStyle w:val="ListParagraph"/>
              <w:numPr>
                <w:ilvl w:val="0"/>
                <w:numId w:val="2"/>
              </w:numPr>
              <w:spacing w:after="25" w:before="25"/>
            </w:pPr>
            <w:r>
              <w:rPr>
                <w:rFonts w:ascii="Arial" w:cs="Arial" w:eastAsia="Arial" w:hAnsi="Arial"/>
                <w:sz w:val="17"/>
                <w:szCs w:val="17"/>
              </w:rPr>
              <w:t xml:space="preserve">S-10 — QA Lead</w:t>
            </w:r>
          </w:p>
          <w:p>
            <w:pPr>
              <w:pStyle w:val="ListParagraph"/>
              <w:numPr>
                <w:ilvl w:val="0"/>
                <w:numId w:val="2"/>
              </w:numPr>
              <w:spacing w:after="25" w:before="25"/>
            </w:pPr>
            <w:r>
              <w:rPr>
                <w:rFonts w:ascii="Arial" w:cs="Arial" w:eastAsia="Arial" w:hAnsi="Arial"/>
                <w:sz w:val="17"/>
                <w:szCs w:val="17"/>
              </w:rPr>
              <w:t xml:space="preserve">S-11 — Data / ML Engineer</w:t>
            </w:r>
          </w:p>
          <w:p>
            <w:pPr>
              <w:pStyle w:val="ListParagraph"/>
              <w:numPr>
                <w:ilvl w:val="0"/>
                <w:numId w:val="2"/>
              </w:numPr>
              <w:spacing w:after="25" w:before="25"/>
            </w:pPr>
            <w:r>
              <w:rPr>
                <w:rFonts w:ascii="Arial" w:cs="Arial" w:eastAsia="Arial" w:hAnsi="Arial"/>
                <w:sz w:val="17"/>
                <w:szCs w:val="17"/>
              </w:rPr>
              <w:t xml:space="preserve">S-16–18 — All Student Users</w:t>
            </w:r>
          </w:p>
          <w:p>
            <w:pPr>
              <w:pStyle w:val="ListParagraph"/>
              <w:numPr>
                <w:ilvl w:val="0"/>
                <w:numId w:val="2"/>
              </w:numPr>
              <w:spacing w:after="25" w:before="25"/>
            </w:pPr>
            <w:r>
              <w:rPr>
                <w:rFonts w:ascii="Arial" w:cs="Arial" w:eastAsia="Arial" w:hAnsi="Arial"/>
                <w:sz w:val="17"/>
                <w:szCs w:val="17"/>
              </w:rPr>
              <w:t xml:space="preserve">S-19–20 — Expert Creators &amp; Teachers</w:t>
            </w:r>
          </w:p>
          <w:p>
            <w:pPr>
              <w:pStyle w:val="ListParagraph"/>
              <w:numPr>
                <w:ilvl w:val="0"/>
                <w:numId w:val="2"/>
              </w:numPr>
              <w:spacing w:after="25" w:before="25"/>
            </w:pPr>
            <w:r>
              <w:rPr>
                <w:rFonts w:ascii="Arial" w:cs="Arial" w:eastAsia="Arial" w:hAnsi="Arial"/>
                <w:sz w:val="17"/>
                <w:szCs w:val="17"/>
              </w:rPr>
              <w:t xml:space="preserve">S-21 — Moderators</w:t>
            </w:r>
          </w:p>
          <w:p>
            <w:pPr>
              <w:pStyle w:val="ListParagraph"/>
              <w:numPr>
                <w:ilvl w:val="0"/>
                <w:numId w:val="2"/>
              </w:numPr>
              <w:spacing w:after="25" w:before="25"/>
            </w:pPr>
            <w:r>
              <w:rPr>
                <w:rFonts w:ascii="Arial" w:cs="Arial" w:eastAsia="Arial" w:hAnsi="Arial"/>
                <w:sz w:val="17"/>
                <w:szCs w:val="17"/>
              </w:rPr>
              <w:t xml:space="preserve">S-29 — Parent Community</w:t>
            </w:r>
          </w:p>
          <w:p>
            <w:pPr>
              <w:spacing w:after="0" w:before="40"/>
            </w:pPr>
            <w:r>
              <w:rPr>
                <w:rFonts w:ascii="Arial" w:cs="Arial" w:eastAsia="Arial" w:hAnsi="Arial"/>
                <w:sz w:val="20"/>
                <w:szCs w:val="20"/>
              </w:rPr>
              <w:t xml:space="preserve"/>
            </w:r>
          </w:p>
          <w:p>
            <w:r>
              <w:rPr>
                <w:rFonts w:ascii="Arial" w:cs="Arial" w:eastAsia="Arial" w:hAnsi="Arial"/>
                <w:b/>
                <w:bCs/>
                <w:color w:val="1A3A8F"/>
                <w:sz w:val="17"/>
                <w:szCs w:val="17"/>
              </w:rPr>
              <w:t xml:space="preserve">Strategy: </w:t>
            </w:r>
            <w:r>
              <w:rPr>
                <w:rFonts w:ascii="Arial" w:cs="Arial" w:eastAsia="Arial" w:hAnsi="Arial"/>
                <w:sz w:val="17"/>
                <w:szCs w:val="17"/>
              </w:rPr>
              <w:t xml:space="preserve">Sprint demos, release notes, in-app feedback, regular community roundtables.</w:t>
            </w:r>
          </w:p>
        </w:tc>
        <w:tc>
          <w:tcPr>
            <w:tcW w:type="dxa" w:w="4680"/>
            <w:tcBorders>
              <w:top w:val="single" w:color="C7D2FE" w:sz="14"/>
              <w:left w:val="single" w:color="C7D2FE" w:sz="14"/>
              <w:bottom w:val="single" w:color="C7D2FE" w:sz="14"/>
              <w:right w:val="single" w:color="C7D2FE" w:sz="14"/>
            </w:tcBorders>
            <w:shd w:fill="F1F5F9" w:val="clear"/>
            <w:tcMar>
              <w:top w:type="dxa" w:w="80"/>
              <w:left w:type="dxa" w:w="120"/>
              <w:bottom w:type="dxa" w:w="80"/>
              <w:right w:type="dxa" w:w="120"/>
            </w:tcMar>
          </w:tcPr>
          <w:p>
            <w:r>
              <w:rPr>
                <w:rFonts w:ascii="Arial" w:cs="Arial" w:eastAsia="Arial" w:hAnsi="Arial"/>
                <w:b/>
                <w:bCs/>
                <w:color w:val="1E293B"/>
                <w:sz w:val="17"/>
                <w:szCs w:val="17"/>
              </w:rPr>
              <w:t xml:space="preserve">Stakeholders:</w:t>
            </w:r>
          </w:p>
          <w:p>
            <w:pPr>
              <w:pStyle w:val="ListParagraph"/>
              <w:numPr>
                <w:ilvl w:val="0"/>
                <w:numId w:val="2"/>
              </w:numPr>
              <w:spacing w:after="30" w:before="30"/>
            </w:pPr>
            <w:r>
              <w:rPr>
                <w:rFonts w:ascii="Arial" w:cs="Arial" w:eastAsia="Arial" w:hAnsi="Arial"/>
                <w:sz w:val="17"/>
                <w:szCs w:val="17"/>
              </w:rPr>
              <w:t xml:space="preserve">S-23 — Platform Admins (Ops Team)</w:t>
            </w:r>
          </w:p>
          <w:p>
            <w:pPr>
              <w:pStyle w:val="ListParagraph"/>
              <w:numPr>
                <w:ilvl w:val="0"/>
                <w:numId w:val="2"/>
              </w:numPr>
              <w:spacing w:after="30" w:before="30"/>
            </w:pPr>
            <w:r>
              <w:rPr>
                <w:rFonts w:ascii="Arial" w:cs="Arial" w:eastAsia="Arial" w:hAnsi="Arial"/>
                <w:sz w:val="17"/>
                <w:szCs w:val="17"/>
              </w:rPr>
              <w:t xml:space="preserve">S-26 — Email / SMS Provider</w:t>
            </w:r>
          </w:p>
          <w:p>
            <w:pPr>
              <w:spacing w:after="0" w:before="40"/>
            </w:pPr>
            <w:r>
              <w:rPr>
                <w:rFonts w:ascii="Arial" w:cs="Arial" w:eastAsia="Arial" w:hAnsi="Arial"/>
                <w:sz w:val="20"/>
                <w:szCs w:val="20"/>
              </w:rPr>
              <w:t xml:space="preserve"/>
            </w:r>
          </w:p>
          <w:p>
            <w:r>
              <w:rPr>
                <w:rFonts w:ascii="Arial" w:cs="Arial" w:eastAsia="Arial" w:hAnsi="Arial"/>
                <w:b/>
                <w:bCs/>
                <w:color w:val="1E293B"/>
                <w:sz w:val="17"/>
                <w:szCs w:val="17"/>
              </w:rPr>
              <w:t xml:space="preserve">Strategy: </w:t>
            </w:r>
            <w:r>
              <w:rPr>
                <w:rFonts w:ascii="Arial" w:cs="Arial" w:eastAsia="Arial" w:hAnsi="Arial"/>
                <w:sz w:val="17"/>
                <w:szCs w:val="17"/>
              </w:rPr>
              <w:t xml:space="preserve">Quarterly status reports. Automated SLA dashboards. Engage only when issues arise.</w:t>
            </w:r>
          </w:p>
        </w:tc>
      </w:tr>
    </w:tbl>
    <w:p>
      <w:r>
        <w:br w:type="page"/>
      </w:r>
    </w:p>
    <w:p>
      <w:pPr>
        <w:pStyle w:val="Heading1"/>
        <w:spacing w:after="140" w:before="360"/>
      </w:pPr>
      <w:r>
        <w:rPr>
          <w:rFonts w:ascii="Arial" w:cs="Arial" w:eastAsia="Arial" w:hAnsi="Arial"/>
          <w:b/>
          <w:bCs/>
          <w:color w:val="0D1B4B"/>
          <w:sz w:val="20"/>
          <w:szCs w:val="20"/>
        </w:rPr>
        <w:t xml:space="preserve">5. Engagement &amp; Communication Plan</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The communication plan defines what information is shared with whom, how often, through which channel, and who is responsible for delivery. It is calibrated per stakeholder group based on their grid position.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200"/>
        <w:gridCol w:w="1400"/>
        <w:gridCol w:w="2360"/>
      </w:tblGrid>
      <w:tr>
        <w:tc>
          <w:tcPr>
            <w:tcW w:type="dxa" w:w="1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Stakeholder</w:t>
            </w:r>
          </w:p>
        </w:tc>
        <w:tc>
          <w:tcPr>
            <w:tcW w:type="dxa" w:w="16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Communication</w:t>
            </w:r>
          </w:p>
        </w:tc>
        <w:tc>
          <w:tcPr>
            <w:tcW w:type="dxa" w:w="1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Frequency</w:t>
            </w:r>
          </w:p>
        </w:tc>
        <w:tc>
          <w:tcPr>
            <w:tcW w:type="dxa" w:w="12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Channel</w:t>
            </w:r>
          </w:p>
        </w:tc>
        <w:tc>
          <w:tcPr>
            <w:tcW w:type="dxa" w:w="1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23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Content &amp; Purpose</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S-01 Business Owner</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Executive Status Report</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Weekly</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Email</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Project Manager</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Progress vs plan, budget burn, key decisions made, upcoming blockers</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S-01 Business Owner</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Monthly Deep-Dive Demo</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Monthly</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Video call</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Product Owner</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Sprint demos, KPI tracking, roadmap updates, strategic questions</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S-02 Product Owner</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Daily Standup</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Daily</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In-person/Slack</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Scrum Master</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Progress, blockers, sprint health</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S-02 Product Owner</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Sprint Planning &amp; Review</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Per sprint</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In-person</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Scrum Master</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Backlog grooming, story acceptance, velocity review</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S-03 Engineering Lead</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Architecture Review</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Per spike</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In-person</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Engineering Lead</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Technical design decisions, NFR feasibility, dependency mapping</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S-03–12 Delivery Team</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Sprint Ceremony</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Per sprint</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In-person</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Scrum Master</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Planning, daily standup, review, retrospective</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S-10 QA Lead</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Test Case Sign-off</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Per story</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Jira / ADO</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QA Lead</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Acceptance criteria confirmation before story closure</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S-22 Institution Admin</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Onboarding Kickoff</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On-join</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Video call</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Product Owner</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Platform walkthrough, admin setup, support introduction</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S-22 Institution Admin</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Monthly Check-in</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Monthly</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Video call</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Account Manager</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Usage metrics, feature questions, upcoming releases affecting them</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S-16–18 Students</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In-App Release Notes</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Per release</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In-app</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Product Team</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New features, improvements, known issues</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S-16–18 Students</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NPS Survey</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30/90 days</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 email</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Product Owner</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Satisfaction scoring, open feedback collection</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S-19–20 Creators</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Creator Roundtable</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Monthly</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Video call</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Content Lead</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Moderation feedback, question quality trends, upcoming content needs</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S-21 Moderators</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Queue SLA Dashboard</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Real-time</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Admin portal</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Platform Admin</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Queue length, review times, escalation rates</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S-28 Exam Boards</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Syllabus Accuracy Review</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Quarterly</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audit</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Content Lead</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Cross-reference platform syllabus with official published syllabuses</w:t>
            </w:r>
          </w:p>
        </w:tc>
      </w:tr>
      <w:tr>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S-27 Data Authority</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Compliance Review</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Annual</w:t>
            </w:r>
          </w:p>
        </w:tc>
        <w:tc>
          <w:tcPr>
            <w:tcW w:type="dxa" w:w="12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Legal review</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A3A8F"/>
                <w:sz w:val="18"/>
                <w:szCs w:val="18"/>
              </w:rPr>
              <w:t xml:space="preserve">Legal / Security</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GDPR/DPDP audit, DPA reviews, data breach response test</w:t>
            </w:r>
          </w:p>
        </w:tc>
      </w:tr>
      <w:tr>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All Stakeholders</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Phase Gate Report</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Per phase</w:t>
            </w:r>
          </w:p>
        </w:tc>
        <w:tc>
          <w:tcPr>
            <w:tcW w:type="dxa" w:w="12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Email + Doc</w:t>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A3A8F"/>
                <w:sz w:val="18"/>
                <w:szCs w:val="18"/>
              </w:rPr>
              <w:t xml:space="preserve">Project Manager</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Phase completion, next phase plan, risk register update, decisions required</w:t>
            </w:r>
          </w:p>
        </w:tc>
      </w:tr>
    </w:tbl>
    <w:p>
      <w:r>
        <w:br w:type="page"/>
      </w:r>
    </w:p>
    <w:p>
      <w:pPr>
        <w:sectPr>
          <w:headerReference w:type="default" r:id="rId7"/>
          <w:footerReference w:type="default" r:id="rId8"/>
          <w:pgSz w:w="12240" w:h="15840" w:orient="portrait"/>
          <w:pgMar w:top="900" w:right="900" w:bottom="900" w:left="900" w:header="708" w:footer="708" w:gutter="0"/>
          <w:pgNumType/>
          <w:docGrid w:linePitch="360"/>
        </w:sectPr>
      </w:pPr>
    </w:p>
    <w:p>
      <w:pPr>
        <w:pStyle w:val="Heading1"/>
        <w:spacing w:after="140" w:before="360"/>
      </w:pPr>
      <w:r>
        <w:rPr>
          <w:rFonts w:ascii="Arial" w:cs="Arial" w:eastAsia="Arial" w:hAnsi="Arial"/>
          <w:b/>
          <w:bCs/>
          <w:color w:val="0D1B4B"/>
          <w:sz w:val="20"/>
          <w:szCs w:val="20"/>
        </w:rPr>
        <w:t xml:space="preserve">6. RACI Matrix — Project Decisions &amp; Activities</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The RACI matrix defines who is Responsible, Accountable, Consulted, and Informed for every major project decision and delivery activity. Each row has exactly one Accountable (A) — the person ultimately answerable for the outcome.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1200"/>
            <w:tcBorders>
              <w:top w:val="single" w:color="C7D2FE" w:sz="14"/>
              <w:left w:val="single" w:color="C7D2FE" w:sz="14"/>
              <w:bottom w:val="single" w:color="C7D2FE" w:sz="14"/>
              <w:right w:val="single" w:color="C7D2FE" w:sz="14"/>
            </w:tcBorders>
            <w:shd w:fill="DBEAFE" w:val="clear"/>
            <w:tcMar>
              <w:top w:type="dxa" w:w="80"/>
              <w:left w:type="dxa" w:w="120"/>
              <w:bottom w:type="dxa" w:w="80"/>
              <w:right w:type="dxa" w:w="120"/>
            </w:tcMar>
          </w:tcPr>
          <w:p>
            <w:r>
              <w:rPr>
                <w:rFonts w:ascii="Arial" w:cs="Arial" w:eastAsia="Arial" w:hAnsi="Arial"/>
                <w:b/>
                <w:bCs/>
                <w:color w:val="1E3A5F"/>
                <w:sz w:val="17"/>
                <w:szCs w:val="17"/>
              </w:rPr>
              <w:t xml:space="preserve">R — Responsible</w:t>
            </w:r>
          </w:p>
        </w:tc>
        <w:tc>
          <w:tcPr>
            <w:tcW w:type="dxa" w:w="1200"/>
            <w:tcBorders>
              <w:top w:val="single" w:color="C7D2FE" w:sz="14"/>
              <w:left w:val="single" w:color="C7D2FE" w:sz="14"/>
              <w:bottom w:val="single" w:color="C7D2FE" w:sz="14"/>
              <w:right w:val="single" w:color="C7D2FE" w:sz="14"/>
            </w:tcBorders>
            <w:shd w:fill="FCE7F3" w:val="clear"/>
            <w:tcMar>
              <w:top w:type="dxa" w:w="80"/>
              <w:left w:type="dxa" w:w="120"/>
              <w:bottom w:type="dxa" w:w="80"/>
              <w:right w:type="dxa" w:w="120"/>
            </w:tcMar>
          </w:tcPr>
          <w:p>
            <w:r>
              <w:rPr>
                <w:rFonts w:ascii="Arial" w:cs="Arial" w:eastAsia="Arial" w:hAnsi="Arial"/>
                <w:b/>
                <w:bCs/>
                <w:color w:val="831843"/>
                <w:sz w:val="17"/>
                <w:szCs w:val="17"/>
              </w:rPr>
              <w:t xml:space="preserve">A — Accountable</w:t>
            </w:r>
          </w:p>
        </w:tc>
        <w:tc>
          <w:tcPr>
            <w:tcW w:type="dxa" w:w="1200"/>
            <w:tcBorders>
              <w:top w:val="single" w:color="C7D2FE" w:sz="14"/>
              <w:left w:val="single" w:color="C7D2FE" w:sz="14"/>
              <w:bottom w:val="single" w:color="C7D2FE" w:sz="14"/>
              <w:right w:val="single" w:color="C7D2FE" w:sz="14"/>
            </w:tcBorders>
            <w:shd w:fill="D1FAE5" w:val="clear"/>
            <w:tcMar>
              <w:top w:type="dxa" w:w="80"/>
              <w:left w:type="dxa" w:w="120"/>
              <w:bottom w:type="dxa" w:w="80"/>
              <w:right w:type="dxa" w:w="120"/>
            </w:tcMar>
          </w:tcPr>
          <w:p>
            <w:r>
              <w:rPr>
                <w:rFonts w:ascii="Arial" w:cs="Arial" w:eastAsia="Arial" w:hAnsi="Arial"/>
                <w:b/>
                <w:bCs/>
                <w:color w:val="064E3B"/>
                <w:sz w:val="17"/>
                <w:szCs w:val="17"/>
              </w:rPr>
              <w:t xml:space="preserve">C — Consulted</w:t>
            </w:r>
          </w:p>
        </w:tc>
        <w:tc>
          <w:tcPr>
            <w:tcW w:type="dxa" w:w="1200"/>
            <w:tcBorders>
              <w:top w:val="single" w:color="C7D2FE" w:sz="14"/>
              <w:left w:val="single" w:color="C7D2FE" w:sz="14"/>
              <w:bottom w:val="single" w:color="C7D2FE" w:sz="14"/>
              <w:right w:val="single" w:color="C7D2FE" w:sz="14"/>
            </w:tcBorders>
            <w:shd w:fill="FEF3C7" w:val="clear"/>
            <w:tcMar>
              <w:top w:type="dxa" w:w="80"/>
              <w:left w:type="dxa" w:w="120"/>
              <w:bottom w:type="dxa" w:w="80"/>
              <w:right w:type="dxa" w:w="120"/>
            </w:tcMar>
          </w:tcPr>
          <w:p>
            <w:r>
              <w:rPr>
                <w:rFonts w:ascii="Arial" w:cs="Arial" w:eastAsia="Arial" w:hAnsi="Arial"/>
                <w:b/>
                <w:bCs/>
                <w:color w:val="78350F"/>
                <w:sz w:val="17"/>
                <w:szCs w:val="17"/>
              </w:rPr>
              <w:t xml:space="preserve">I — Informed</w:t>
            </w:r>
          </w:p>
        </w:tc>
        <w:tc>
          <w:tcPr>
            <w:tcW w:type="dxa" w:w="4560"/>
            <w:tcBorders>
              <w:top w:val="single" w:color="C7D2FE" w:sz="14"/>
              <w:left w:val="single" w:color="C7D2FE" w:sz="14"/>
              <w:bottom w:val="single" w:color="C7D2FE" w:sz="14"/>
              <w:right w:val="single" w:color="C7D2FE" w:sz="14"/>
            </w:tcBorders>
            <w:shd w:fill="F9FAFB" w:val="clear"/>
            <w:tcMar>
              <w:top w:type="dxa" w:w="80"/>
              <w:left w:type="dxa" w:w="120"/>
              <w:bottom w:type="dxa" w:w="80"/>
              <w:right w:type="dxa" w:w="120"/>
            </w:tcMar>
          </w:tcPr>
          <w:p>
            <w:r>
              <w:rPr>
                <w:rFonts w:ascii="Arial" w:cs="Arial" w:eastAsia="Arial" w:hAnsi="Arial"/>
                <w:color w:val="6B7280"/>
                <w:sz w:val="17"/>
                <w:szCs w:val="17"/>
              </w:rPr>
              <w:t xml:space="preserve">R = Does the work · A = Ultimately answerable (one per row) · C = Input sought · I = Notified of outcome · - = Not involved</w:t>
            </w:r>
          </w:p>
        </w:tc>
      </w:tr>
    </w:tbl>
    <w:p>
      <w:pPr>
        <w:spacing w:after="0" w:before="80"/>
      </w:pPr>
      <w:r>
        <w:rPr>
          <w:rFonts w:ascii="Arial" w:cs="Arial" w:eastAsia="Arial" w:hAnsi="Arial"/>
          <w:sz w:val="20"/>
          <w:szCs w:val="20"/>
        </w:rPr>
        <w:t xml:space="preserve"/>
      </w:r>
    </w:p>
    <w:p>
      <w:pPr>
        <w:shd w:fill="0D1B4B" w:val="clear"/>
        <w:spacing w:after="120" w:before="260"/>
      </w:pPr>
      <w:r>
        <w:rPr>
          <w:rFonts w:ascii="Arial" w:cs="Arial" w:eastAsia="Arial" w:hAnsi="Arial"/>
          <w:b/>
          <w:bCs/>
          <w:color w:val="FFFFFF"/>
          <w:sz w:val="22"/>
          <w:szCs w:val="22"/>
        </w:rPr>
        <w:t xml:space="preserve">  Strategy &amp; Product Decisions  </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760"/>
        <w:gridCol w:w="760"/>
        <w:gridCol w:w="760"/>
        <w:gridCol w:w="760"/>
        <w:gridCol w:w="760"/>
        <w:gridCol w:w="760"/>
        <w:gridCol w:w="760"/>
        <w:gridCol w:w="760"/>
        <w:gridCol w:w="760"/>
        <w:gridCol w:w="760"/>
        <w:gridCol w:w="760"/>
      </w:tblGrid>
      <w:tr>
        <w:tc>
          <w:tcPr>
            <w:tcW w:type="dxa" w:w="30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 / Activity</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Business Owner</w:t>
            </w:r>
          </w:p>
        </w:tc>
        <w:tc>
          <w:tcPr>
            <w:tcW w:type="dxa" w:w="76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Product Owner</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Tech Lead</w:t>
            </w:r>
          </w:p>
        </w:tc>
        <w:tc>
          <w:tcPr>
            <w:tcW w:type="dxa" w:w="760"/>
            <w:tcBorders>
              <w:top w:val="single" w:color="3B0764" w:sz="14"/>
              <w:left w:val="single" w:color="3B0764" w:sz="14"/>
              <w:bottom w:val="single" w:color="3B0764" w:sz="14"/>
              <w:right w:val="single" w:color="3B0764" w:sz="14"/>
            </w:tcBorders>
            <w:shd w:fill="3B0764"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Designer</w:t>
            </w:r>
          </w:p>
        </w:tc>
        <w:tc>
          <w:tcPr>
            <w:tcW w:type="dxa" w:w="760"/>
            <w:tcBorders>
              <w:top w:val="single" w:color="14532D" w:sz="14"/>
              <w:left w:val="single" w:color="14532D" w:sz="14"/>
              <w:bottom w:val="single" w:color="14532D" w:sz="14"/>
              <w:right w:val="single" w:color="14532D" w:sz="14"/>
            </w:tcBorders>
            <w:shd w:fill="14532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QA Lead</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Data/ML Eng</w:t>
            </w:r>
          </w:p>
        </w:tc>
        <w:tc>
          <w:tcPr>
            <w:tcW w:type="dxa" w:w="760"/>
            <w:tcBorders>
              <w:top w:val="single" w:color="78350F" w:sz="14"/>
              <w:left w:val="single" w:color="78350F" w:sz="14"/>
              <w:bottom w:val="single" w:color="78350F" w:sz="14"/>
              <w:right w:val="single" w:color="78350F" w:sz="14"/>
            </w:tcBorders>
            <w:shd w:fill="78350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DevOps</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Inst. Admin</w:t>
            </w:r>
          </w:p>
        </w:tc>
        <w:tc>
          <w:tcPr>
            <w:tcW w:type="dxa" w:w="76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Moderator</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Platform Admin</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Legal/Security</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Platform vision and strategic direction</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Feature prioritisation and MoSCoW assignment</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3B0764"/>
                <w:sz w:val="17"/>
                <w:szCs w:val="17"/>
              </w:rPr>
              <w:t xml:space="preserve">R/A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MVP scope definition</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Subscription pricing and plan configuration</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Institution billing and contract terms</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Phase gate approval (proceed / pause / stop)</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New market expansion decision (Phase 2)</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bl>
    <w:p>
      <w:pPr>
        <w:spacing w:after="0" w:before="80"/>
      </w:pPr>
      <w:r>
        <w:rPr>
          <w:rFonts w:ascii="Arial" w:cs="Arial" w:eastAsia="Arial" w:hAnsi="Arial"/>
          <w:sz w:val="20"/>
          <w:szCs w:val="20"/>
        </w:rPr>
        <w:t xml:space="preserve"/>
      </w:r>
    </w:p>
    <w:p>
      <w:pPr>
        <w:shd w:fill="1A3A8F" w:val="clear"/>
        <w:spacing w:after="120" w:before="260"/>
      </w:pPr>
      <w:r>
        <w:rPr>
          <w:rFonts w:ascii="Arial" w:cs="Arial" w:eastAsia="Arial" w:hAnsi="Arial"/>
          <w:b/>
          <w:bCs/>
          <w:color w:val="FFFFFF"/>
          <w:sz w:val="22"/>
          <w:szCs w:val="22"/>
        </w:rPr>
        <w:t xml:space="preserve">  Design &amp; Architecture Decisions  </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760"/>
        <w:gridCol w:w="760"/>
        <w:gridCol w:w="760"/>
        <w:gridCol w:w="760"/>
        <w:gridCol w:w="760"/>
        <w:gridCol w:w="760"/>
        <w:gridCol w:w="760"/>
        <w:gridCol w:w="760"/>
        <w:gridCol w:w="760"/>
        <w:gridCol w:w="760"/>
        <w:gridCol w:w="760"/>
      </w:tblGrid>
      <w:tr>
        <w:tc>
          <w:tcPr>
            <w:tcW w:type="dxa" w:w="300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 / Activity</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Business Owner</w:t>
            </w:r>
          </w:p>
        </w:tc>
        <w:tc>
          <w:tcPr>
            <w:tcW w:type="dxa" w:w="76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Product Owner</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Tech Lead</w:t>
            </w:r>
          </w:p>
        </w:tc>
        <w:tc>
          <w:tcPr>
            <w:tcW w:type="dxa" w:w="760"/>
            <w:tcBorders>
              <w:top w:val="single" w:color="3B0764" w:sz="14"/>
              <w:left w:val="single" w:color="3B0764" w:sz="14"/>
              <w:bottom w:val="single" w:color="3B0764" w:sz="14"/>
              <w:right w:val="single" w:color="3B0764" w:sz="14"/>
            </w:tcBorders>
            <w:shd w:fill="3B0764"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Designer</w:t>
            </w:r>
          </w:p>
        </w:tc>
        <w:tc>
          <w:tcPr>
            <w:tcW w:type="dxa" w:w="760"/>
            <w:tcBorders>
              <w:top w:val="single" w:color="14532D" w:sz="14"/>
              <w:left w:val="single" w:color="14532D" w:sz="14"/>
              <w:bottom w:val="single" w:color="14532D" w:sz="14"/>
              <w:right w:val="single" w:color="14532D" w:sz="14"/>
            </w:tcBorders>
            <w:shd w:fill="14532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QA Lead</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Data/ML Eng</w:t>
            </w:r>
          </w:p>
        </w:tc>
        <w:tc>
          <w:tcPr>
            <w:tcW w:type="dxa" w:w="760"/>
            <w:tcBorders>
              <w:top w:val="single" w:color="78350F" w:sz="14"/>
              <w:left w:val="single" w:color="78350F" w:sz="14"/>
              <w:bottom w:val="single" w:color="78350F" w:sz="14"/>
              <w:right w:val="single" w:color="78350F" w:sz="14"/>
            </w:tcBorders>
            <w:shd w:fill="78350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DevOps</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Inst. Admin</w:t>
            </w:r>
          </w:p>
        </w:tc>
        <w:tc>
          <w:tcPr>
            <w:tcW w:type="dxa" w:w="76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Moderator</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Platform Admin</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Legal/Security</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Technology stack selection</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System architecture and HLD approval</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Database schema design and approval</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API design specification approval</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Security design and threat model approval</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UI/UX wireframe and design system sign-off</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Adaptive algorithm design and specification</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Infrastructure design and cloud architecture</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bl>
    <w:p>
      <w:pPr>
        <w:spacing w:after="0" w:before="80"/>
      </w:pPr>
      <w:r>
        <w:rPr>
          <w:rFonts w:ascii="Arial" w:cs="Arial" w:eastAsia="Arial" w:hAnsi="Arial"/>
          <w:sz w:val="20"/>
          <w:szCs w:val="20"/>
        </w:rPr>
        <w:t xml:space="preserve"/>
      </w:r>
    </w:p>
    <w:p>
      <w:pPr>
        <w:shd w:fill="0F4C75" w:val="clear"/>
        <w:spacing w:after="120" w:before="260"/>
      </w:pPr>
      <w:r>
        <w:rPr>
          <w:rFonts w:ascii="Arial" w:cs="Arial" w:eastAsia="Arial" w:hAnsi="Arial"/>
          <w:b/>
          <w:bCs/>
          <w:color w:val="FFFFFF"/>
          <w:sz w:val="22"/>
          <w:szCs w:val="22"/>
        </w:rPr>
        <w:t xml:space="preserve">  Delivery &amp; Engineering Decisions  </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760"/>
        <w:gridCol w:w="760"/>
        <w:gridCol w:w="760"/>
        <w:gridCol w:w="760"/>
        <w:gridCol w:w="760"/>
        <w:gridCol w:w="760"/>
        <w:gridCol w:w="760"/>
        <w:gridCol w:w="760"/>
        <w:gridCol w:w="760"/>
        <w:gridCol w:w="760"/>
        <w:gridCol w:w="760"/>
      </w:tblGrid>
      <w:tr>
        <w:tc>
          <w:tcPr>
            <w:tcW w:type="dxa" w:w="300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 / Activity</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Business Owner</w:t>
            </w:r>
          </w:p>
        </w:tc>
        <w:tc>
          <w:tcPr>
            <w:tcW w:type="dxa" w:w="76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Product Owner</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Tech Lead</w:t>
            </w:r>
          </w:p>
        </w:tc>
        <w:tc>
          <w:tcPr>
            <w:tcW w:type="dxa" w:w="760"/>
            <w:tcBorders>
              <w:top w:val="single" w:color="3B0764" w:sz="14"/>
              <w:left w:val="single" w:color="3B0764" w:sz="14"/>
              <w:bottom w:val="single" w:color="3B0764" w:sz="14"/>
              <w:right w:val="single" w:color="3B0764" w:sz="14"/>
            </w:tcBorders>
            <w:shd w:fill="3B0764"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Designer</w:t>
            </w:r>
          </w:p>
        </w:tc>
        <w:tc>
          <w:tcPr>
            <w:tcW w:type="dxa" w:w="760"/>
            <w:tcBorders>
              <w:top w:val="single" w:color="14532D" w:sz="14"/>
              <w:left w:val="single" w:color="14532D" w:sz="14"/>
              <w:bottom w:val="single" w:color="14532D" w:sz="14"/>
              <w:right w:val="single" w:color="14532D" w:sz="14"/>
            </w:tcBorders>
            <w:shd w:fill="14532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QA Lead</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Data/ML Eng</w:t>
            </w:r>
          </w:p>
        </w:tc>
        <w:tc>
          <w:tcPr>
            <w:tcW w:type="dxa" w:w="760"/>
            <w:tcBorders>
              <w:top w:val="single" w:color="78350F" w:sz="14"/>
              <w:left w:val="single" w:color="78350F" w:sz="14"/>
              <w:bottom w:val="single" w:color="78350F" w:sz="14"/>
              <w:right w:val="single" w:color="78350F" w:sz="14"/>
            </w:tcBorders>
            <w:shd w:fill="78350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DevOps</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Inst. Admin</w:t>
            </w:r>
          </w:p>
        </w:tc>
        <w:tc>
          <w:tcPr>
            <w:tcW w:type="dxa" w:w="76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Moderator</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Platform Admin</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Legal/Security</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Sprint 0 scope and environment setup</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Sprint planning and story acceptance</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Definition of Done enforcement</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Technical spike outcomes and decisions</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Code review and merge approval</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Production deployment approval</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Incident response and hotfix prioritisation</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bl>
    <w:p>
      <w:pPr>
        <w:spacing w:after="0" w:before="80"/>
      </w:pPr>
      <w:r>
        <w:rPr>
          <w:rFonts w:ascii="Arial" w:cs="Arial" w:eastAsia="Arial" w:hAnsi="Arial"/>
          <w:sz w:val="20"/>
          <w:szCs w:val="20"/>
        </w:rPr>
        <w:t xml:space="preserve"/>
      </w:r>
    </w:p>
    <w:p>
      <w:pPr>
        <w:shd w:fill="7F1D1D" w:val="clear"/>
        <w:spacing w:after="120" w:before="260"/>
      </w:pPr>
      <w:r>
        <w:rPr>
          <w:rFonts w:ascii="Arial" w:cs="Arial" w:eastAsia="Arial" w:hAnsi="Arial"/>
          <w:b/>
          <w:bCs/>
          <w:color w:val="FFFFFF"/>
          <w:sz w:val="22"/>
          <w:szCs w:val="22"/>
        </w:rPr>
        <w:t xml:space="preserve">  Content, Moderation &amp; Community Decisions  </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760"/>
        <w:gridCol w:w="760"/>
        <w:gridCol w:w="760"/>
        <w:gridCol w:w="760"/>
        <w:gridCol w:w="760"/>
        <w:gridCol w:w="760"/>
        <w:gridCol w:w="760"/>
        <w:gridCol w:w="760"/>
        <w:gridCol w:w="760"/>
        <w:gridCol w:w="760"/>
        <w:gridCol w:w="760"/>
      </w:tblGrid>
      <w:tr>
        <w:tc>
          <w:tcPr>
            <w:tcW w:type="dxa" w:w="300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 / Activity</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Business Owner</w:t>
            </w:r>
          </w:p>
        </w:tc>
        <w:tc>
          <w:tcPr>
            <w:tcW w:type="dxa" w:w="76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Product Owner</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Tech Lead</w:t>
            </w:r>
          </w:p>
        </w:tc>
        <w:tc>
          <w:tcPr>
            <w:tcW w:type="dxa" w:w="760"/>
            <w:tcBorders>
              <w:top w:val="single" w:color="3B0764" w:sz="14"/>
              <w:left w:val="single" w:color="3B0764" w:sz="14"/>
              <w:bottom w:val="single" w:color="3B0764" w:sz="14"/>
              <w:right w:val="single" w:color="3B0764" w:sz="14"/>
            </w:tcBorders>
            <w:shd w:fill="3B0764"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Designer</w:t>
            </w:r>
          </w:p>
        </w:tc>
        <w:tc>
          <w:tcPr>
            <w:tcW w:type="dxa" w:w="760"/>
            <w:tcBorders>
              <w:top w:val="single" w:color="14532D" w:sz="14"/>
              <w:left w:val="single" w:color="14532D" w:sz="14"/>
              <w:bottom w:val="single" w:color="14532D" w:sz="14"/>
              <w:right w:val="single" w:color="14532D" w:sz="14"/>
            </w:tcBorders>
            <w:shd w:fill="14532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QA Lead</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Data/ML Eng</w:t>
            </w:r>
          </w:p>
        </w:tc>
        <w:tc>
          <w:tcPr>
            <w:tcW w:type="dxa" w:w="760"/>
            <w:tcBorders>
              <w:top w:val="single" w:color="78350F" w:sz="14"/>
              <w:left w:val="single" w:color="78350F" w:sz="14"/>
              <w:bottom w:val="single" w:color="78350F" w:sz="14"/>
              <w:right w:val="single" w:color="78350F" w:sz="14"/>
            </w:tcBorders>
            <w:shd w:fill="78350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DevOps</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Inst. Admin</w:t>
            </w:r>
          </w:p>
        </w:tc>
        <w:tc>
          <w:tcPr>
            <w:tcW w:type="dxa" w:w="76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Moderator</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Platform Admin</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Legal/Security</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Exam syllabus configuration and updates</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Screening test question set management</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Content moderation policy definition</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Individual content approve / reject decision</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User warning, suspension, or ban decision</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Creator application approval</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bl>
    <w:p>
      <w:pPr>
        <w:spacing w:after="0" w:before="80"/>
      </w:pPr>
      <w:r>
        <w:rPr>
          <w:rFonts w:ascii="Arial" w:cs="Arial" w:eastAsia="Arial" w:hAnsi="Arial"/>
          <w:sz w:val="20"/>
          <w:szCs w:val="20"/>
        </w:rPr>
        <w:t xml:space="preserve"/>
      </w:r>
    </w:p>
    <w:p>
      <w:pPr>
        <w:shd w:fill="1E293B" w:val="clear"/>
        <w:spacing w:after="120" w:before="260"/>
      </w:pPr>
      <w:r>
        <w:rPr>
          <w:rFonts w:ascii="Arial" w:cs="Arial" w:eastAsia="Arial" w:hAnsi="Arial"/>
          <w:b/>
          <w:bCs/>
          <w:color w:val="FFFFFF"/>
          <w:sz w:val="22"/>
          <w:szCs w:val="22"/>
        </w:rPr>
        <w:t xml:space="preserve">  Compliance, Legal &amp; Privacy Decisions  </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760"/>
        <w:gridCol w:w="760"/>
        <w:gridCol w:w="760"/>
        <w:gridCol w:w="760"/>
        <w:gridCol w:w="760"/>
        <w:gridCol w:w="760"/>
        <w:gridCol w:w="760"/>
        <w:gridCol w:w="760"/>
        <w:gridCol w:w="760"/>
        <w:gridCol w:w="760"/>
        <w:gridCol w:w="760"/>
      </w:tblGrid>
      <w:tr>
        <w:tc>
          <w:tcPr>
            <w:tcW w:type="dxa" w:w="300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 / Activity</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Business Owner</w:t>
            </w:r>
          </w:p>
        </w:tc>
        <w:tc>
          <w:tcPr>
            <w:tcW w:type="dxa" w:w="76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Product Owner</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Tech Lead</w:t>
            </w:r>
          </w:p>
        </w:tc>
        <w:tc>
          <w:tcPr>
            <w:tcW w:type="dxa" w:w="760"/>
            <w:tcBorders>
              <w:top w:val="single" w:color="3B0764" w:sz="14"/>
              <w:left w:val="single" w:color="3B0764" w:sz="14"/>
              <w:bottom w:val="single" w:color="3B0764" w:sz="14"/>
              <w:right w:val="single" w:color="3B0764" w:sz="14"/>
            </w:tcBorders>
            <w:shd w:fill="3B0764"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Designer</w:t>
            </w:r>
          </w:p>
        </w:tc>
        <w:tc>
          <w:tcPr>
            <w:tcW w:type="dxa" w:w="760"/>
            <w:tcBorders>
              <w:top w:val="single" w:color="14532D" w:sz="14"/>
              <w:left w:val="single" w:color="14532D" w:sz="14"/>
              <w:bottom w:val="single" w:color="14532D" w:sz="14"/>
              <w:right w:val="single" w:color="14532D" w:sz="14"/>
            </w:tcBorders>
            <w:shd w:fill="14532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QA Lead</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Data/ML Eng</w:t>
            </w:r>
          </w:p>
        </w:tc>
        <w:tc>
          <w:tcPr>
            <w:tcW w:type="dxa" w:w="760"/>
            <w:tcBorders>
              <w:top w:val="single" w:color="78350F" w:sz="14"/>
              <w:left w:val="single" w:color="78350F" w:sz="14"/>
              <w:bottom w:val="single" w:color="78350F" w:sz="14"/>
              <w:right w:val="single" w:color="78350F" w:sz="14"/>
            </w:tcBorders>
            <w:shd w:fill="78350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DevOps</w:t>
            </w:r>
          </w:p>
        </w:tc>
        <w:tc>
          <w:tcPr>
            <w:tcW w:type="dxa" w:w="76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Inst. Admin</w:t>
            </w:r>
          </w:p>
        </w:tc>
        <w:tc>
          <w:tcPr>
            <w:tcW w:type="dxa" w:w="76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Moderator</w:t>
            </w:r>
          </w:p>
        </w:tc>
        <w:tc>
          <w:tcPr>
            <w:tcW w:type="dxa" w:w="7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Platform Admin</w:t>
            </w:r>
          </w:p>
        </w:tc>
        <w:tc>
          <w:tcPr>
            <w:tcW w:type="dxa" w:w="7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Legal/Security</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GDPR / DPDP compliance sign-off</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Terms of Service and Privacy Policy approval</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 processing agreements with third parties</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r>
      <w:tr>
        <w:tc>
          <w:tcPr>
            <w:tcW w:type="dxa" w:w="3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Security penetration test scope and sign-off</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r>
      <w:tr>
        <w:tc>
          <w:tcPr>
            <w:tcW w:type="dxa" w:w="3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 subject access / erasure request process</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7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r>
    </w:tbl>
    <w:p>
      <w:r>
        <w:br w:type="page"/>
      </w:r>
    </w:p>
    <w:p>
      <w:pPr>
        <w:sectPr>
          <w:headerReference w:type="default" r:id="rId9"/>
          <w:footerReference w:type="default" r:id="rId10"/>
          <w:pgSz w:w="15840" w:h="12240" w:orient="landscape"/>
          <w:pgMar w:top="720" w:right="720" w:bottom="720" w:left="720" w:header="708" w:footer="708" w:gutter="0"/>
          <w:pgNumType/>
          <w:docGrid w:linePitch="360"/>
        </w:sectPr>
      </w:pPr>
    </w:p>
    <w:p>
      <w:pPr>
        <w:pStyle w:val="Heading1"/>
        <w:spacing w:after="140" w:before="360"/>
      </w:pPr>
      <w:r>
        <w:rPr>
          <w:rFonts w:ascii="Arial" w:cs="Arial" w:eastAsia="Arial" w:hAnsi="Arial"/>
          <w:b/>
          <w:bCs/>
          <w:color w:val="0D1B4B"/>
          <w:sz w:val="20"/>
          <w:szCs w:val="20"/>
        </w:rPr>
        <w:t xml:space="preserve">7. RACI Matrix — Delivery Workstreams</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This matrix maps responsibility across the eight major delivery workstreams of the Adaptive Learning Platform. Use this to resolve ownership ambiguity when multiple teams are involved in the same workstream.</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1560"/>
      </w:tblGrid>
      <w:tr>
        <w:tc>
          <w:tcPr>
            <w:tcW w:type="dxa" w:w="2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Workstream</w:t>
            </w:r>
          </w:p>
        </w:tc>
        <w:tc>
          <w:tcPr>
            <w:tcW w:type="dxa" w:w="12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Business Owner</w:t>
            </w:r>
          </w:p>
        </w:tc>
        <w:tc>
          <w:tcPr>
            <w:tcW w:type="dxa" w:w="1200"/>
            <w:tcBorders>
              <w:top w:val="single" w:color="1A3A8F" w:sz="14"/>
              <w:left w:val="single" w:color="1A3A8F" w:sz="14"/>
              <w:bottom w:val="single" w:color="1A3A8F" w:sz="14"/>
              <w:right w:val="single" w:color="1A3A8F" w:sz="14"/>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Product Owner</w:t>
            </w:r>
          </w:p>
        </w:tc>
        <w:tc>
          <w:tcPr>
            <w:tcW w:type="dxa" w:w="1200"/>
            <w:tcBorders>
              <w:top w:val="single" w:color="0F4C75" w:sz="14"/>
              <w:left w:val="single" w:color="0F4C75" w:sz="14"/>
              <w:bottom w:val="single" w:color="0F4C75" w:sz="14"/>
              <w:right w:val="single" w:color="0F4C75" w:sz="14"/>
            </w:tcBorders>
            <w:shd w:fill="0F4C7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Engineering Lead</w:t>
            </w:r>
          </w:p>
        </w:tc>
        <w:tc>
          <w:tcPr>
            <w:tcW w:type="dxa" w:w="1200"/>
            <w:tcBorders>
              <w:top w:val="single" w:color="14532D" w:sz="14"/>
              <w:left w:val="single" w:color="14532D" w:sz="14"/>
              <w:bottom w:val="single" w:color="14532D" w:sz="14"/>
              <w:right w:val="single" w:color="14532D" w:sz="14"/>
            </w:tcBorders>
            <w:shd w:fill="14532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QA Lead</w:t>
            </w:r>
          </w:p>
        </w:tc>
        <w:tc>
          <w:tcPr>
            <w:tcW w:type="dxa" w:w="1200"/>
            <w:tcBorders>
              <w:top w:val="single" w:color="7F1D1D" w:sz="14"/>
              <w:left w:val="single" w:color="7F1D1D" w:sz="14"/>
              <w:bottom w:val="single" w:color="7F1D1D" w:sz="14"/>
              <w:right w:val="single" w:color="7F1D1D" w:sz="14"/>
            </w:tcBorders>
            <w:shd w:fill="7F1D1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Platform Admin</w:t>
            </w:r>
          </w:p>
        </w:tc>
        <w:tc>
          <w:tcPr>
            <w:tcW w:type="dxa" w:w="1560"/>
            <w:tcBorders>
              <w:top w:val="single" w:color="1E293B" w:sz="14"/>
              <w:left w:val="single" w:color="1E293B" w:sz="14"/>
              <w:bottom w:val="single" w:color="1E293B" w:sz="14"/>
              <w:right w:val="single" w:color="1E293B" w:sz="14"/>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Legal / Security</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Requirements &amp; BRD</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UI/UX Design &amp; Prototyping</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Backend API Development</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Frontend Web Development</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Mobile App Development</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Adaptive Engine &amp; Analytics</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Infrastructure &amp; DevOps</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QA, Testing &amp; Release</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5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Content &amp; Moderation Operations</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5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Institution Onboarding</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15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Security &amp; Compliance</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560"/>
            <w:tcBorders>
              <w:top w:val="single" w:color="C7D2FE" w:sz="14"/>
              <w:left w:val="single" w:color="C7D2FE" w:sz="14"/>
              <w:bottom w:val="single" w:color="C7D2FE" w:sz="14"/>
              <w:right w:val="single" w:color="C7D2FE" w:sz="14"/>
            </w:tcBorders>
            <w:shd w:fill="FFFF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Post-Launch Operations</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78350F"/>
                <w:sz w:val="17"/>
                <w:szCs w:val="17"/>
              </w:rPr>
              <w:t xml:space="preserve">I</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831843"/>
                <w:sz w:val="17"/>
                <w:szCs w:val="17"/>
              </w:rPr>
              <w:t xml:space="preserve">A</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c>
          <w:tcPr>
            <w:tcW w:type="dxa" w:w="120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1E3A5F"/>
                <w:sz w:val="17"/>
                <w:szCs w:val="17"/>
              </w:rPr>
              <w:t xml:space="preserve">R</w:t>
            </w:r>
          </w:p>
        </w:tc>
        <w:tc>
          <w:tcPr>
            <w:tcW w:type="dxa" w:w="1560"/>
            <w:tcBorders>
              <w:top w:val="single" w:color="C7D2FE" w:sz="14"/>
              <w:left w:val="single" w:color="C7D2FE" w:sz="14"/>
              <w:bottom w:val="single" w:color="C7D2FE" w:sz="14"/>
              <w:right w:val="single" w:color="C7D2FE" w:sz="14"/>
            </w:tcBorders>
            <w:shd w:fill="EEF2FF" w:val="clear"/>
            <w:tcMar>
              <w:top w:type="dxa" w:w="60"/>
              <w:left w:type="dxa" w:w="100"/>
              <w:bottom w:type="dxa" w:w="60"/>
              <w:right w:type="dxa" w:w="100"/>
            </w:tcMar>
            <w:vAlign w:val="center"/>
          </w:tcPr>
          <w:p>
            <w:pPr>
              <w:jc w:val="center"/>
            </w:pPr>
            <w:r>
              <w:rPr>
                <w:rFonts w:ascii="Arial" w:cs="Arial" w:eastAsia="Arial" w:hAnsi="Arial"/>
                <w:b/>
                <w:bCs/>
                <w:color w:val="064E3B"/>
                <w:sz w:val="17"/>
                <w:szCs w:val="17"/>
              </w:rPr>
              <w:t xml:space="preserve">C</w:t>
            </w:r>
          </w:p>
        </w:tc>
      </w:tr>
    </w:tbl>
    <w:p>
      <w:r>
        <w:br w:type="page"/>
      </w:r>
    </w:p>
    <w:p>
      <w:pPr>
        <w:pStyle w:val="Heading1"/>
        <w:spacing w:after="140" w:before="360"/>
      </w:pPr>
      <w:r>
        <w:rPr>
          <w:rFonts w:ascii="Arial" w:cs="Arial" w:eastAsia="Arial" w:hAnsi="Arial"/>
          <w:b/>
          <w:bCs/>
          <w:color w:val="0D1B4B"/>
          <w:sz w:val="20"/>
          <w:szCs w:val="20"/>
        </w:rPr>
        <w:t xml:space="preserve">8. Stakeholder Risk Register</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Risks that arise specifically from stakeholder relationships, disengagement, or conflicting interests. These risks are in addition to the technical and delivery risks captured in the BRD v2.0 Risk Register.</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800"/>
        <w:gridCol w:w="800"/>
        <w:gridCol w:w="800"/>
        <w:gridCol w:w="2360"/>
        <w:gridCol w:w="2300"/>
      </w:tblGrid>
      <w:tr>
        <w:tc>
          <w:tcPr>
            <w:tcW w:type="dxa" w:w="7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SR-ID</w:t>
            </w:r>
          </w:p>
        </w:tc>
        <w:tc>
          <w:tcPr>
            <w:tcW w:type="dxa" w:w="16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Risk</w:t>
            </w:r>
          </w:p>
        </w:tc>
        <w:tc>
          <w:tcPr>
            <w:tcW w:type="dxa" w:w="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Stakeholder</w:t>
            </w:r>
          </w:p>
        </w:tc>
        <w:tc>
          <w:tcPr>
            <w:tcW w:type="dxa" w:w="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Like.</w:t>
            </w:r>
          </w:p>
        </w:tc>
        <w:tc>
          <w:tcPr>
            <w:tcW w:type="dxa" w:w="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Impact</w:t>
            </w:r>
          </w:p>
        </w:tc>
        <w:tc>
          <w:tcPr>
            <w:tcW w:type="dxa" w:w="23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Description</w:t>
            </w:r>
          </w:p>
        </w:tc>
        <w:tc>
          <w:tcPr>
            <w:tcW w:type="dxa" w:w="23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Mitigation</w:t>
            </w:r>
          </w:p>
        </w:tc>
      </w:tr>
      <w:tr>
        <w:tc>
          <w:tcPr>
            <w:tcW w:type="dxa" w:w="7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SR-01</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Business Owner disengages mid-delivery</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S-01</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Strategic direction changes or funding pauses without warning, causing scope drift or project halt.</w:t>
            </w:r>
          </w:p>
        </w:tc>
        <w:tc>
          <w:tcPr>
            <w:tcW w:type="dxa" w:w="23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Weekly written status. Milestone demos tied to payment triggers. Clear escalation protocol.</w:t>
            </w:r>
          </w:p>
        </w:tc>
      </w:tr>
      <w:tr>
        <w:tc>
          <w:tcPr>
            <w:tcW w:type="dxa" w:w="7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SR-02</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Creator community fails to seed content bank</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S-19–20</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Insufficient questions at launch — students have poor experience, premium value proposition fails.</w:t>
            </w:r>
          </w:p>
        </w:tc>
        <w:tc>
          <w:tcPr>
            <w:tcW w:type="dxa" w:w="23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Internal team seeds minimum 500 questions per major exam. Import from licensed banks as fallback.</w:t>
            </w:r>
          </w:p>
        </w:tc>
      </w:tr>
      <w:tr>
        <w:tc>
          <w:tcPr>
            <w:tcW w:type="dxa" w:w="7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SR-03</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Institution Admin onboarding friction</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S-22</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First institutional client has a poor onboarding experience — negative reference case damages B2B pipeline.</w:t>
            </w:r>
          </w:p>
        </w:tc>
        <w:tc>
          <w:tcPr>
            <w:tcW w:type="dxa" w:w="23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White-glove first 5 onboardings. Dedicated support Slack per institution. On-call during setup week.</w:t>
            </w:r>
          </w:p>
        </w:tc>
      </w:tr>
      <w:tr>
        <w:tc>
          <w:tcPr>
            <w:tcW w:type="dxa" w:w="7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SR-04</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Moderation SLA breach causing creator churn</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S-21</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Queue backlog builds. Creators wait weeks for approval. Top contributors leave platform pre-launch.</w:t>
            </w:r>
          </w:p>
        </w:tc>
        <w:tc>
          <w:tcPr>
            <w:tcW w:type="dxa" w:w="23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48-hr SLA enforced via admin dashboard. Alert at 24 hrs. Moderator team scaled proactively.</w:t>
            </w:r>
          </w:p>
        </w:tc>
      </w:tr>
      <w:tr>
        <w:tc>
          <w:tcPr>
            <w:tcW w:type="dxa" w:w="7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SR-05</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Examination Board changes syllabus</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S-28</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NTA or CBSE changes exam pattern. Platform content becomes stale. Students notice and lose trust.</w:t>
            </w:r>
          </w:p>
        </w:tc>
        <w:tc>
          <w:tcPr>
            <w:tcW w:type="dxa" w:w="23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Internal syllabus monitoring role. 2-week update SLA from announcement. Admin config tool for rapid changes.</w:t>
            </w:r>
          </w:p>
        </w:tc>
      </w:tr>
      <w:tr>
        <w:tc>
          <w:tcPr>
            <w:tcW w:type="dxa" w:w="7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SR-06</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Data protection authority enforcement action</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S-27</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GDPR or DPDP non-compliance discovered post-launch — fine or mandatory shutdown.</w:t>
            </w:r>
          </w:p>
        </w:tc>
        <w:tc>
          <w:tcPr>
            <w:tcW w:type="dxa" w:w="23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Legal review of ToS and DPAs before launch. Automated deletion job. Annual compliance audit.</w:t>
            </w:r>
          </w:p>
        </w:tc>
      </w:tr>
      <w:tr>
        <w:tc>
          <w:tcPr>
            <w:tcW w:type="dxa" w:w="7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SR-07</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Key engineer departure during critical sprint</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S-03–11</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Loss of tech lead or ML engineer mid-delivery causing delay or knowledge gap.</w:t>
            </w:r>
          </w:p>
        </w:tc>
        <w:tc>
          <w:tcPr>
            <w:tcW w:type="dxa" w:w="23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Pair programming on critical paths. Architecture documented continuously. Cross-training sessions.</w:t>
            </w:r>
          </w:p>
        </w:tc>
      </w:tr>
      <w:tr>
        <w:tc>
          <w:tcPr>
            <w:tcW w:type="dxa" w:w="7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SR-08</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Student trust collapse due to readiness score inaccuracy</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S-16–18</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Readiness score predictions are significantly wrong for many students — perceived as misleading.</w:t>
            </w:r>
          </w:p>
        </w:tc>
        <w:tc>
          <w:tcPr>
            <w:tcW w:type="dxa" w:w="23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Score clearly labelled as estimate throughout. A/B test vs baseline before launch. Feedback loop from result logging.</w:t>
            </w:r>
          </w:p>
        </w:tc>
      </w:tr>
      <w:tr>
        <w:tc>
          <w:tcPr>
            <w:tcW w:type="dxa" w:w="7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SR-09</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Product Owner overloaded — backlog ambiguity</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S-02</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23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PO becomes bottleneck. Stories enter sprint without sufficient acceptance criteria.</w:t>
            </w:r>
          </w:p>
        </w:tc>
        <w:tc>
          <w:tcPr>
            <w:tcW w:type="dxa" w:w="23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BA supports PO on story writing. Sprint planning requires all stories to meet DoR before entry.</w:t>
            </w:r>
          </w:p>
        </w:tc>
      </w:tr>
      <w:tr>
        <w:tc>
          <w:tcPr>
            <w:tcW w:type="dxa" w:w="7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2563EB"/>
                <w:sz w:val="18"/>
                <w:szCs w:val="18"/>
              </w:rPr>
              <w:t xml:space="preserve">SR-10</w:t>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Investor expectations misaligned with Phase 1 scope</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S-30</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23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Investor expects features planned for Phase 2 at Phase 1 launch — disappointment or pressure to scope-creep.</w:t>
            </w:r>
          </w:p>
        </w:tc>
        <w:tc>
          <w:tcPr>
            <w:tcW w:type="dxa" w:w="23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Clear Phase 1 scope document shared with investor at contract. Phase gate review includes investor update.</w:t>
            </w:r>
          </w:p>
        </w:tc>
      </w:tr>
    </w:tbl>
    <w:p>
      <w:r>
        <w:br w:type="page"/>
      </w:r>
    </w:p>
    <w:p>
      <w:pPr>
        <w:pStyle w:val="Heading1"/>
        <w:spacing w:after="140" w:before="360"/>
      </w:pPr>
      <w:r>
        <w:rPr>
          <w:rFonts w:ascii="Arial" w:cs="Arial" w:eastAsia="Arial" w:hAnsi="Arial"/>
          <w:b/>
          <w:bCs/>
          <w:color w:val="0D1B4B"/>
          <w:sz w:val="20"/>
          <w:szCs w:val="20"/>
        </w:rPr>
        <w:t xml:space="preserve">9. Stakeholder Register Review Log</w:t>
      </w:r>
    </w:p>
    <w:p>
      <w:pPr>
        <w:pBdr>
          <w:bottom w:val="single" w:color="2563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This register is reviewed at the end of every sprint and formally re-baselined at each phase gate. Every change to a stakeholder's influence, interest, attitude, or engagement strategy is logged here with rationale.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1800"/>
        <w:gridCol w:w="2160"/>
        <w:gridCol w:w="1400"/>
      </w:tblGrid>
      <w:tr>
        <w:tc>
          <w:tcPr>
            <w:tcW w:type="dxa" w:w="10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Version</w:t>
            </w:r>
          </w:p>
        </w:tc>
        <w:tc>
          <w:tcPr>
            <w:tcW w:type="dxa" w:w="1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Date</w:t>
            </w:r>
          </w:p>
        </w:tc>
        <w:tc>
          <w:tcPr>
            <w:tcW w:type="dxa" w:w="16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Stakeholder Affected</w:t>
            </w:r>
          </w:p>
        </w:tc>
        <w:tc>
          <w:tcPr>
            <w:tcW w:type="dxa" w:w="18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Change Made</w:t>
            </w:r>
          </w:p>
        </w:tc>
        <w:tc>
          <w:tcPr>
            <w:tcW w:type="dxa" w:w="21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Rationale</w:t>
            </w:r>
          </w:p>
        </w:tc>
        <w:tc>
          <w:tcPr>
            <w:tcW w:type="dxa" w:w="1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Approved By</w:t>
            </w:r>
          </w:p>
        </w:tc>
      </w:tr>
      <w:tr>
        <w:tc>
          <w:tcPr>
            <w:tcW w:type="dxa" w:w="1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1.0</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April 2026</w:t>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All</w:t>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Initial creation</w:t>
            </w:r>
          </w:p>
        </w:tc>
        <w:tc>
          <w:tcPr>
            <w:tcW w:type="dxa" w:w="2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First release of stakeholder register for Adaptive Learning Platform</w:t>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Product Owner</w:t>
            </w:r>
          </w:p>
        </w:tc>
      </w:tr>
      <w:tr>
        <w:tc>
          <w:tcPr>
            <w:tcW w:type="dxa" w:w="1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2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1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21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1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2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10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6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8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21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10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6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8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21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c>
          <w:tcPr>
            <w:tcW w:type="dxa" w:w="1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bl>
    <w:p>
      <w:pPr>
        <w:spacing w:after="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A3A8F"/>
          <w:sz w:val="20"/>
          <w:szCs w:val="20"/>
        </w:rPr>
        <w:t xml:space="preserve">9.1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Trigger</w:t>
            </w:r>
          </w:p>
        </w:tc>
        <w:tc>
          <w:tcPr>
            <w:tcW w:type="dxa" w:w="240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Review Type</w:t>
            </w:r>
          </w:p>
        </w:tc>
        <w:tc>
          <w:tcPr>
            <w:tcW w:type="dxa" w:w="4560"/>
            <w:tcBorders>
              <w:top w:val="single" w:color="0D1B4B" w:sz="14"/>
              <w:left w:val="single" w:color="0D1B4B" w:sz="14"/>
              <w:bottom w:val="single" w:color="0D1B4B" w:sz="14"/>
              <w:right w:val="single" w:color="0D1B4B" w:sz="14"/>
            </w:tcBorders>
            <w:shd w:fill="0D1B4B" w:val="clear"/>
            <w:tcMar>
              <w:top w:type="dxa" w:w="80"/>
              <w:left w:type="dxa" w:w="120"/>
              <w:bottom w:type="dxa" w:w="80"/>
              <w:right w:type="dxa" w:w="120"/>
            </w:tcMar>
            <w:vAlign w:val="center"/>
          </w:tcPr>
          <w:p>
            <w:r>
              <w:rPr>
                <w:rFonts w:ascii="Arial" w:cs="Arial" w:eastAsia="Arial" w:hAnsi="Arial"/>
                <w:b/>
                <w:bCs/>
                <w:color w:val="FFFFFF"/>
                <w:sz w:val="17"/>
                <w:szCs w:val="17"/>
              </w:rPr>
              <w:t xml:space="preserve">Action Required</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End of every sprint</w:t>
            </w:r>
          </w:p>
        </w:tc>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Light review</w:t>
            </w:r>
          </w:p>
        </w:tc>
        <w:tc>
          <w:tcPr>
            <w:tcW w:type="dxa" w:w="4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Confirm no new stakeholders identified. Update attitude/engagement notes for key stakeholders.</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Phase gate (P0→P1→P2→P3)</w:t>
            </w:r>
          </w:p>
        </w:tc>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Full re-baseline</w:t>
            </w:r>
          </w:p>
        </w:tc>
        <w:tc>
          <w:tcPr>
            <w:tcW w:type="dxa" w:w="45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Re-assess all stakeholders. Update influence/interest scores. Review RACI for new activities added to scope.</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New institutional client added</w:t>
            </w:r>
          </w:p>
        </w:tc>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Partial update</w:t>
            </w:r>
          </w:p>
        </w:tc>
        <w:tc>
          <w:tcPr>
            <w:tcW w:type="dxa" w:w="4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Add institution admin to stakeholder register. Assign engagement lead. Add to RACI for Institution Onboarding workstream.</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Regulatory or compliance change</w:t>
            </w:r>
          </w:p>
        </w:tc>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Immediate update</w:t>
            </w:r>
          </w:p>
        </w:tc>
        <w:tc>
          <w:tcPr>
            <w:tcW w:type="dxa" w:w="45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Review S-27 engagement plan and compliance workstream RACI. Escalate any impact on launch date to S-01.</w:t>
            </w:r>
          </w:p>
        </w:tc>
      </w:tr>
      <w:tr>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Team member joins or leaves</w:t>
            </w:r>
          </w:p>
        </w:tc>
        <w:tc>
          <w:tcPr>
            <w:tcW w:type="dxa" w:w="240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0F4C75"/>
                <w:sz w:val="18"/>
                <w:szCs w:val="18"/>
              </w:rPr>
              <w:t xml:space="preserve">Partial update</w:t>
            </w:r>
          </w:p>
        </w:tc>
        <w:tc>
          <w:tcPr>
            <w:tcW w:type="dxa" w:w="4560"/>
            <w:tcBorders>
              <w:top w:val="single" w:color="C7D2FE" w:sz="14"/>
              <w:left w:val="single" w:color="C7D2FE" w:sz="14"/>
              <w:bottom w:val="single" w:color="C7D2FE" w:sz="14"/>
              <w:right w:val="single" w:color="C7D2FE" w:sz="14"/>
            </w:tcBorders>
            <w:shd w:fill="FFFFFF" w:val="clear"/>
            <w:tcMar>
              <w:top w:type="dxa" w:w="80"/>
              <w:left w:type="dxa" w:w="120"/>
              <w:bottom w:type="dxa" w:w="80"/>
              <w:right w:type="dxa" w:w="120"/>
            </w:tcMar>
          </w:tcPr>
          <w:p>
            <w:r>
              <w:rPr>
                <w:rFonts w:ascii="Arial" w:cs="Arial" w:eastAsia="Arial" w:hAnsi="Arial"/>
                <w:color w:val="111827"/>
                <w:sz w:val="18"/>
                <w:szCs w:val="18"/>
              </w:rPr>
              <w:t xml:space="preserve">Update RACI matrix for affected workstreams. Brief new joiner on stakeholder context within first sprint.</w:t>
            </w:r>
          </w:p>
        </w:tc>
      </w:tr>
      <w:tr>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b/>
                <w:bCs/>
                <w:color w:val="111827"/>
                <w:sz w:val="18"/>
                <w:szCs w:val="18"/>
              </w:rPr>
              <w:t xml:space="preserve">Launch (Phase 1 go-live)</w:t>
            </w:r>
          </w:p>
        </w:tc>
        <w:tc>
          <w:tcPr>
            <w:tcW w:type="dxa" w:w="240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0F4C75"/>
                <w:sz w:val="18"/>
                <w:szCs w:val="18"/>
              </w:rPr>
              <w:t xml:space="preserve">Full re-baseline</w:t>
            </w:r>
          </w:p>
        </w:tc>
        <w:tc>
          <w:tcPr>
            <w:tcW w:type="dxa" w:w="4560"/>
            <w:tcBorders>
              <w:top w:val="single" w:color="C7D2FE" w:sz="14"/>
              <w:left w:val="single" w:color="C7D2FE" w:sz="14"/>
              <w:bottom w:val="single" w:color="C7D2FE" w:sz="14"/>
              <w:right w:val="single" w:color="C7D2FE" w:sz="14"/>
            </w:tcBorders>
            <w:shd w:fill="EEF2FF" w:val="clear"/>
            <w:tcMar>
              <w:top w:type="dxa" w:w="80"/>
              <w:left w:type="dxa" w:w="120"/>
              <w:bottom w:type="dxa" w:w="80"/>
              <w:right w:type="dxa" w:w="120"/>
            </w:tcMar>
          </w:tcPr>
          <w:p>
            <w:r>
              <w:rPr>
                <w:rFonts w:ascii="Arial" w:cs="Arial" w:eastAsia="Arial" w:hAnsi="Arial"/>
                <w:color w:val="111827"/>
                <w:sz w:val="18"/>
                <w:szCs w:val="18"/>
              </w:rPr>
              <w:t xml:space="preserve">Shift focus from delivery to operations and growth. Update engagement strategies for all external stakeholders.</w:t>
            </w:r>
          </w:p>
        </w:tc>
      </w:tr>
    </w:tbl>
    <w:sectPr>
      <w:headerReference w:type="default" r:id="rId11"/>
      <w:footerReference w:type="default" r:id="rId12"/>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8" w:space="1"/>
      </w:pBdr>
      <w:spacing w:before="100"/>
    </w:pPr>
    <w:r>
      <w:rPr>
        <w:rFonts w:ascii="Arial" w:cs="Arial" w:eastAsia="Arial" w:hAnsi="Arial"/>
        <w:color w:val="6B7280"/>
        <w:sz w:val="16"/>
        <w:szCs w:val="16"/>
      </w:rPr>
      <w:t xml:space="preserve">Stakeholder Register &amp; RACI Matrix  |  Adaptive Learning Platform  |  April 2026  |  Page </w:t>
    </w:r>
    <w:r>
      <w:rPr>
        <w:rFonts w:ascii="Arial" w:cs="Arial" w:eastAsia="Arial" w:hAnsi="Arial"/>
        <w:color w:val="6B7280"/>
        <w:sz w:val="16"/>
        <w:szCs w:val="16"/>
      </w:rPr>
      <w:pgNum/>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8" w:space="1"/>
      </w:pBdr>
      <w:spacing w:before="100"/>
    </w:pPr>
    <w:r>
      <w:rPr>
        <w:rFonts w:ascii="Arial" w:cs="Arial" w:eastAsia="Arial" w:hAnsi="Arial"/>
        <w:color w:val="6B7280"/>
        <w:sz w:val="16"/>
        <w:szCs w:val="16"/>
      </w:rPr>
      <w:t xml:space="preserve">Stakeholder Register &amp; RACI Matrix  |  Adaptive Learning Platform  |  April 2026  |  Page </w:t>
    </w:r>
    <w:r>
      <w:rPr>
        <w:rFonts w:ascii="Arial" w:cs="Arial" w:eastAsia="Arial" w:hAnsi="Arial"/>
        <w:color w:val="6B7280"/>
        <w:sz w:val="16"/>
        <w:szCs w:val="16"/>
      </w:rPr>
      <w:pgNum/>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8" w:space="1"/>
      </w:pBdr>
      <w:spacing w:before="100"/>
    </w:pPr>
    <w:r>
      <w:rPr>
        <w:rFonts w:ascii="Arial" w:cs="Arial" w:eastAsia="Arial" w:hAnsi="Arial"/>
        <w:color w:val="6B7280"/>
        <w:sz w:val="16"/>
        <w:szCs w:val="16"/>
      </w:rPr>
      <w:t xml:space="preserve">Stakeholder Register &amp; RACI Matrix  |  Adaptive Learning Platform  |  April 2026  |  Page </w:t>
    </w:r>
    <w:r>
      <w:rPr>
        <w:rFonts w:ascii="Arial" w:cs="Arial" w:eastAsia="Arial" w:hAnsi="Arial"/>
        <w:color w:val="6B72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4B" w:sz="8" w:space="1"/>
      </w:pBdr>
      <w:spacing w:after="100"/>
    </w:pPr>
    <w:r>
      <w:rPr>
        <w:rFonts w:ascii="Arial" w:cs="Arial" w:eastAsia="Arial" w:hAnsi="Arial"/>
        <w:b/>
        <w:bCs/>
        <w:color w:val="0D1B4B"/>
        <w:sz w:val="16"/>
        <w:szCs w:val="16"/>
      </w:rPr>
      <w:t xml:space="preserve">ADAPTIVE LEARNING PLATFORM  </w:t>
    </w:r>
    <w:r>
      <w:rPr>
        <w:rFonts w:ascii="Arial" w:cs="Arial" w:eastAsia="Arial" w:hAnsi="Arial"/>
        <w:color w:val="6B7280"/>
        <w:sz w:val="16"/>
        <w:szCs w:val="16"/>
      </w:rPr>
      <w:t xml:space="preserve">|  Stakeholder Register &amp; RACI Matrix  |  v1.0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4B" w:sz="8" w:space="1"/>
      </w:pBdr>
      <w:spacing w:after="100"/>
    </w:pPr>
    <w:r>
      <w:rPr>
        <w:rFonts w:ascii="Arial" w:cs="Arial" w:eastAsia="Arial" w:hAnsi="Arial"/>
        <w:b/>
        <w:bCs/>
        <w:color w:val="0D1B4B"/>
        <w:sz w:val="16"/>
        <w:szCs w:val="16"/>
      </w:rPr>
      <w:t xml:space="preserve">ADAPTIVE LEARNING PLATFORM  </w:t>
    </w:r>
    <w:r>
      <w:rPr>
        <w:rFonts w:ascii="Arial" w:cs="Arial" w:eastAsia="Arial" w:hAnsi="Arial"/>
        <w:color w:val="6B7280"/>
        <w:sz w:val="16"/>
        <w:szCs w:val="16"/>
      </w:rPr>
      <w:t xml:space="preserve">|  Stakeholder Register &amp; RACI Matrix  |  v1.0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4B" w:sz="8" w:space="1"/>
      </w:pBdr>
      <w:spacing w:after="100"/>
    </w:pPr>
    <w:r>
      <w:rPr>
        <w:rFonts w:ascii="Arial" w:cs="Arial" w:eastAsia="Arial" w:hAnsi="Arial"/>
        <w:b/>
        <w:bCs/>
        <w:color w:val="0D1B4B"/>
        <w:sz w:val="16"/>
        <w:szCs w:val="16"/>
      </w:rPr>
      <w:t xml:space="preserve">ADAPTIVE LEARNING PLATFORM  </w:t>
    </w:r>
    <w:r>
      <w:rPr>
        <w:rFonts w:ascii="Arial" w:cs="Arial" w:eastAsia="Arial" w:hAnsi="Arial"/>
        <w:color w:val="6B7280"/>
        <w:sz w:val="16"/>
        <w:szCs w:val="16"/>
      </w:rPr>
      <w:t xml:space="preserve">|  Stakeholder Register &amp; RACI Matrix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1B4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3A8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2026-04-16T13:13:49.814Z</dcterms:created>
  <dcterms:modified xsi:type="dcterms:W3CDTF">2026-04-16T13:13:49.814Z</dcterms:modified>
</cp:coreProperties>
</file>

<file path=docProps/custom.xml><?xml version="1.0" encoding="utf-8"?>
<Properties xmlns="http://schemas.openxmlformats.org/officeDocument/2006/custom-properties" xmlns:vt="http://schemas.openxmlformats.org/officeDocument/2006/docPropsVTypes"/>
</file>