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2"/>
        </w:rPr>
        <w:t>LangChain DOCX Loader Sample</w:t>
      </w:r>
    </w:p>
    <w:p>
      <w:r>
        <w:rPr>
          <w:rFonts w:ascii="Arial" w:hAnsi="Arial"/>
          <w:sz w:val="22"/>
        </w:rPr>
        <w:t>This document is used to demonstrate Docx2txtLoader in LangChain.</w:t>
      </w:r>
    </w:p>
    <w:p>
      <w:pPr>
        <w:pStyle w:val="Heading1"/>
      </w:pPr>
      <w:r>
        <w:rPr>
          <w:rFonts w:ascii="Arial" w:hAnsi="Arial"/>
          <w:sz w:val="22"/>
        </w:rPr>
        <w:t>Refund Policy</w:t>
      </w:r>
    </w:p>
    <w:p>
      <w:r>
        <w:rPr>
          <w:rFonts w:ascii="Arial" w:hAnsi="Arial"/>
          <w:sz w:val="22"/>
        </w:rPr>
        <w:t>Refunds are allowed within 7 days of purchase if the product is unused and the invoice is available.</w:t>
      </w:r>
    </w:p>
    <w:p>
      <w:pPr>
        <w:pStyle w:val="Heading1"/>
      </w:pPr>
      <w:r>
        <w:rPr>
          <w:rFonts w:ascii="Arial" w:hAnsi="Arial"/>
          <w:sz w:val="22"/>
        </w:rPr>
        <w:t>Leave Policy</w:t>
      </w:r>
    </w:p>
    <w:p>
      <w:r>
        <w:rPr>
          <w:rFonts w:ascii="Arial" w:hAnsi="Arial"/>
          <w:sz w:val="22"/>
        </w:rPr>
        <w:t>Employees receive 18 paid leaves per year and 8 sick leaves per year.</w:t>
      </w:r>
    </w:p>
    <w:p>
      <w:pPr>
        <w:pStyle w:val="Heading1"/>
      </w:pPr>
      <w:r>
        <w:rPr>
          <w:rFonts w:ascii="Arial" w:hAnsi="Arial"/>
          <w:sz w:val="22"/>
        </w:rPr>
        <w:t>Simple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Update Frequency</w:t>
            </w:r>
          </w:p>
        </w:tc>
      </w:tr>
      <w:tr>
        <w:tc>
          <w:tcPr>
            <w:tcW w:type="dxa" w:w="2880"/>
          </w:tcPr>
          <w:p>
            <w:r>
              <w:t>Refund Policy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  <w:tr>
        <w:tc>
          <w:tcPr>
            <w:tcW w:type="dxa" w:w="2880"/>
          </w:tcPr>
          <w:p>
            <w:r>
              <w:t>Leave Policy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Yearly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