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53"/>
          <w:sz-cs w:val="53"/>
          <w:b/>
          <w:spacing w:val="0"/>
        </w:rPr>
        <w:t xml:space="preserve">Arjun Singh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Enterprise Account Executive – B2B SaaS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Gurugram, Haryana | arjun.singh@example.com | +91 90000 00106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SUMMARY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Enterprise seller with 9 years closing SaaS deals with Indian and Middle-East enterprises. Consistent quota over-achiever; strong in MEDDICC, multi-threaded deals and CXO relationships.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EXPERIENCE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Enterprise Account Executive</w:t>
      </w:r>
      <w:r>
        <w:rPr>
          <w:rFonts w:ascii="Arial" w:hAnsi="Arial" w:cs="Arial"/>
          <w:sz w:val="29"/>
          <w:sz-cs w:val="29"/>
          <w:spacing w:val="0"/>
        </w:rPr>
        <w:t xml:space="preserve"> — CloudDesk HR (HR tech SaaS), Gurugram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</w:rPr>
        <w:t xml:space="preserve">May 2021 – Present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Closed ₹38 Cr ARR over 4 years; 128% of quota in FY24 and 117% in FY25.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Won 3 Fortune India 500 logos with 9–14 month sales cycles and 10+ stakeholders each.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Built a partner channel with 2 system integrators contributing 25% of new pipeline.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Account Executive</w:t>
      </w:r>
      <w:r>
        <w:rPr>
          <w:rFonts w:ascii="Arial" w:hAnsi="Arial" w:cs="Arial"/>
          <w:sz w:val="29"/>
          <w:sz-cs w:val="29"/>
          <w:spacing w:val="0"/>
        </w:rPr>
        <w:t xml:space="preserve"> — Ledgerline (accounting software), New Delhi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</w:rPr>
        <w:t xml:space="preserve">Apr 2018 – Apr 2021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Mid-market new business; ₹9.6 Cr closed, President's Club 2020.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Ran product demos and pilots with finance teams of 200–2,000 employee companies.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Inside Sales Representative</w:t>
      </w:r>
      <w:r>
        <w:rPr>
          <w:rFonts w:ascii="Arial" w:hAnsi="Arial" w:cs="Arial"/>
          <w:sz w:val="29"/>
          <w:sz-cs w:val="29"/>
          <w:spacing w:val="0"/>
        </w:rPr>
        <w:t xml:space="preserve"> — TeleReach Solutions, Noida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</w:rPr>
        <w:t xml:space="preserve">Jun 2016 – Mar 2018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Booked 45+ qualified meetings a month through outbound calling and email.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EDUCATION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MBA, Marketing, Delhi Business School (sample) — 2016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B.Com, Shri Ram College (sample) — 2014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SKILLS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Enterprise sales, MEDDICC, Salesforce, Pipeline forecasting, Negotiation, Channel partnerships, CXO relationships, RFP responses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