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53"/>
          <w:sz-cs w:val="53"/>
          <w:b/>
          <w:spacing w:val="0"/>
        </w:rPr>
        <w:t xml:space="preserve">Fatima Sheikh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Talent Acquisition Lead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Noida, Uttar Pradesh | fatima.sheikh@example.com | +91 90000 00109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SUMMARY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HR professional with 10 years in talent acquisition and HR business partnering, most recently building tech hiring teams at a high-growth startup.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PROFESSIONAL EXPERIENCE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Talent Acquisition Lead</w:t>
      </w:r>
      <w:r>
        <w:rPr>
          <w:rFonts w:ascii="Arial" w:hAnsi="Arial" w:cs="Arial"/>
          <w:sz w:val="29"/>
          <w:sz-cs w:val="29"/>
          <w:spacing w:val="0"/>
        </w:rPr>
        <w:t xml:space="preserve"> — Quantiva AI (Series B), Noida</w:t>
        <w:br/>
        <w:t xml:space="preserve"/>
      </w:r>
      <w:r>
        <w:rPr>
          <w:rFonts w:ascii="Arial" w:hAnsi="Arial" w:cs="Arial"/>
          <w:sz w:val="29"/>
          <w:sz-cs w:val="29"/>
          <w:i/>
          <w:spacing w:val="0"/>
        </w:rPr>
        <w:t xml:space="preserve">2022 – Present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Hired 260 people in 2 years (70% engineering) with a team of 6 recruiters; time-to-hire from 52 to 31 days.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Launched employer branding and referral programs; referrals now 35% of hires.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Set up structured interviews and scorecards; offer-acceptance rate 88%.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Senior HR Business Partner</w:t>
      </w:r>
      <w:r>
        <w:rPr>
          <w:rFonts w:ascii="Arial" w:hAnsi="Arial" w:cs="Arial"/>
          <w:sz w:val="29"/>
          <w:sz-cs w:val="29"/>
          <w:spacing w:val="0"/>
        </w:rPr>
        <w:t xml:space="preserve"> — Orbit Retail Pvt. Ltd., New Delhi</w:t>
        <w:br/>
        <w:t xml:space="preserve"/>
      </w:r>
      <w:r>
        <w:rPr>
          <w:rFonts w:ascii="Arial" w:hAnsi="Arial" w:cs="Arial"/>
          <w:sz w:val="29"/>
          <w:sz-cs w:val="29"/>
          <w:i/>
          <w:spacing w:val="0"/>
        </w:rPr>
        <w:t xml:space="preserve">2018 – 2022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HRBP for 1,400 employees across stores and head office; attrition down from 41% to 29%.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Ran annual performance cycles and compensation reviews.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Recruiter</w:t>
      </w:r>
      <w:r>
        <w:rPr>
          <w:rFonts w:ascii="Arial" w:hAnsi="Arial" w:cs="Arial"/>
          <w:sz w:val="29"/>
          <w:sz-cs w:val="29"/>
          <w:spacing w:val="0"/>
        </w:rPr>
        <w:t xml:space="preserve"> — StaffRight Consulting, Gurugram</w:t>
        <w:br/>
        <w:t xml:space="preserve"/>
      </w:r>
      <w:r>
        <w:rPr>
          <w:rFonts w:ascii="Arial" w:hAnsi="Arial" w:cs="Arial"/>
          <w:sz w:val="29"/>
          <w:sz-cs w:val="29"/>
          <w:i/>
          <w:spacing w:val="0"/>
        </w:rPr>
        <w:t xml:space="preserve">2015 – 2018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End-to-end hiring for IT services clients; 120+ placements a year.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EDUCATION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MBA, Human Resources, Lucknow Institute of Management (sample) — 2015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CORE COMPETENCIES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Tech recruiting, Employer branding, Greenhouse ATS, LinkedIn Recruiter, Structured interviewing, HR business partnering, Compensation benchmarking, Labour law basics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