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A股空间体系 · 10月8日盘前策略</w:t>
      </w:r>
    </w:p>
    <w:p>
      <w:pPr>
        <w:jc w:val="center"/>
      </w:pPr>
      <w:r>
        <w:rPr>
          <w:b/>
          <w:sz w:val="22"/>
        </w:rPr>
        <w:t>提前版｜基于 2026-09-30 收盘，按现有 P0/P1/P2 私有规则执行</w:t>
      </w:r>
    </w:p>
    <w:p>
      <w:pPr>
        <w:jc w:val="center"/>
      </w:pPr>
      <w:r>
        <w:rPr>
          <w:sz w:val="22"/>
        </w:rPr>
        <w:t>目标交易日：2026-10-08（节后首个正式交易日）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重要：这是一份“现在就生成”的提前盘前版。10月6–7日尚未发生的公告、外围市场变化和10月8日竞价无法预知，因此所有首日执行条件必须在10月8日 09:25–09:35 再核验一次。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结论项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当前判定</w:t>
            </w:r>
          </w:p>
        </w:tc>
        <w:tc>
          <w:tcPr>
            <w:tcW w:type="dxa" w:w="67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执行含义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风险总闸门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UNKNOWN → 按 CLOSED 处理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开盘前不预设主动新仓；先核验9/29–9/30非ST跌停口径、10/8竞价与高位负反馈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客观 Hmax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7板：新华传媒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公告/重组复牌连续一字，客观最高但默认不作为常规空接资格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有效空间主干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重点锚：襄阳轴承 4板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7板公告高标之下，6/5板断层，4板具备“隐形空间/断板龙”结构观察价值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C（广义空接上限）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 X 确认后计算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未完成上一空间账本复核前，不预设数值；10/8先做资格与历史账本复核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Y（压突天花板）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必须由连续两个有效失败信号形成；仅看到单次高位失败不够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10/8核心任务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先验风险，再看分离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襄阳轴承优先；3板梯队做竞争与转化观察；2板作为后备梯队</w:t>
            </w:r>
          </w:p>
        </w:tc>
      </w:tr>
    </w:tbl>
    <w:p>
      <w:pPr>
        <w:spacing w:after="40"/>
      </w:pPr>
    </w:p>
    <w:p>
      <w:pPr>
        <w:pStyle w:val="Heading1"/>
      </w:pPr>
      <w:r>
        <w:t>一、9月30日收盘基准：先看客观盘面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梯队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9/30状态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体系备注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新华传媒 600825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7连板，一字；重大资产重组/收购事项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客观Hmax；公告/连续一字默认排除常规广义空接；10/1又发异常波动暨风险提示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襄阳轴承 000678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4连板；9/30大幅低开后回封，换手充分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当前最重要的实际空间锚；与上方7板之间缺6、5板，符合断层结构观察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深物业A 000011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3连板；地产；当日大分歧回封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盘口分歧较大，适合做10/8竞争/分离观察，不直接因3板身份给买点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九阳股份 002242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3连板；消费/机器人概念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同梯队竞争；若高开一致加速反而降低追价价值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善水科技 301190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20cm 3连板；化工/染料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涨跌幅制度不同，不能与10cm梯队机械同权比较；只做独立强弱验证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3板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时代万恒 600241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3连板；电池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10/1发布风险提示，且上半年归母净利润亏损；10/8必须降级为风险观察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2板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传艺科技/紫竹高科/亚邦股份/上海洗霸/园林股份/均瑶健康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6只2板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用于10/8低位分支与后备梯队，不因数量多就自动取得空间身份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市场广度：9月30日全市场约2567家上涨、2824家下跌；主要指数分化，科技硬件偏弱，医药/地产/消费相对强。</w:t>
      </w:r>
    </w:p>
    <w:p>
      <w:pPr>
        <w:pStyle w:val="ListBullet"/>
        <w:spacing w:after="40"/>
      </w:pPr>
      <w:r>
        <w:t>涨停/跌停口径在公开复盘间存在统计差异。P0 对“连续两个交易日非ST跌停≥10”要求严格，因此在精确剔除ST并完成两日核验前，风险闸门不能擅自写 OPEN。</w:t>
      </w:r>
    </w:p>
    <w:p>
      <w:pPr>
        <w:pStyle w:val="ListBullet"/>
        <w:spacing w:after="40"/>
      </w:pPr>
      <w:r>
        <w:t>9月30日雪龙集团从前一日4板直接跌停，高位接力负反馈明显；这对10月8日首日追高非常重要。</w:t>
      </w:r>
    </w:p>
    <w:p>
      <w:pPr>
        <w:pStyle w:val="Heading1"/>
      </w:pPr>
      <w:r>
        <w:t>二、五个核心变量：X ≠ C ≠ Y，先把账算清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本版状态</w:t>
            </w:r>
          </w:p>
        </w:tc>
        <w:tc>
          <w:tcPr>
            <w:tcW w:type="dxa" w:w="777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Hmax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新华传媒客观7连板；但公告/连续一字有特殊排除标记。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待账本确认；实际空间锚重点看4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不能把Hmax直接当X。若沿有效空间主干确认襄阳轴承为当前接替锚，则X需按主干规则正式落账；本提前版不伪造历史账本。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待X确认后计算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 C=clamp(X-3,3,5)，并受全淘汰/重置规则影响。没有完整X账本，不强行给一个看似精确的数字。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压突要求连续两次有效失败；摸一次顶或单只高板失败不能直接生成Y。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逐票记录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新华传媒7、襄阳轴承4、深物业A/九阳/善水/时代万恒3、六只2板股为2。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因此：本版最重要的纪律不是“猜X/C/Y”，而是保留未确认字段。10月8日若盘前/盘中补齐历史空间账本，再把C与Y正式落值；在此之前，不让这些未知值反向创造买点。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三、10月8日首页：第一次可执行/可验证对象</w:t>
      </w:r>
    </w:p>
    <w:p>
      <w:pPr>
        <w:pStyle w:val="Heading2"/>
      </w:pPr>
      <w:r>
        <w:t>A. 襄阳轴承：第一观察位（断板龙/隐形空间结构）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99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10月8日计划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身份层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上方为7板公告一字高标新华传媒；6板、5板缺位；襄阳轴承处于4板实际换手空间，具备“有望成为断板龙/隐形空间”的结构。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时间层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9/30为结构形成观察日；10/8是下一正式交易日，属于首个验证窗，而不是把节前机会事后重算。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先看什么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新华传媒是否继续一字/开板；襄阳轴承竞价是否明显强于3板梯队；是否出现高位核按钮扩散。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允许信号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风险闸门从UNKNOWN/CLOSED解除；竞价不出现极端一致顶死；开盘后承接强、主动回封或与同梯队/下方梯队形成清晰分离。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禁止信号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新华传媒开板巨震引发高位通杀；襄阳轴承大幅低预期开盘且无快速修复；同梯队出现更强主动空间替代；非ST跌停风险未核清。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执行级别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在提前版里只列“一级验证对象”，不是无条件买入指令。若风险闸门未解除，哪怕晋级也只记录，不开新仓。</w:t>
            </w:r>
          </w:p>
        </w:tc>
      </w:tr>
    </w:tbl>
    <w:p>
      <w:pPr>
        <w:spacing w:after="40"/>
      </w:pPr>
    </w:p>
    <w:p>
      <w:pPr>
        <w:pStyle w:val="Heading2"/>
      </w:pPr>
      <w:r>
        <w:t>B. 3板梯队：不是“都可以买”，而是分离池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10/8重点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深物业A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9/30大分歧后回封，辨识度高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烂板/地天式波动，地产是否有持续性需验证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竞价承接 + 是否率先分离；弱转强只作确认工具，不创造身份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九阳股份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3连板，消费方向节前有相对强度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若缩量一致高开，追价盈亏比下降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看是否主动换手后再强，而不是单看高开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善水科技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20cm连续性强，化工/染料有辨识度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20cm波动大，不能与10cm梯队机械比较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独立判断量价和板块联动；不纳入10cm同一买点模板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时代万恒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电池方向3连板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10/1风险提示；2026H1归母净利润亏损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默认降级观察；除非公告风险被市场充分消化且盘口显著超预期，否则不列首选</w:t>
            </w:r>
          </w:p>
        </w:tc>
      </w:tr>
    </w:tbl>
    <w:p>
      <w:pPr>
        <w:spacing w:after="40"/>
      </w:pPr>
    </w:p>
    <w:p>
      <w:pPr>
        <w:pStyle w:val="Heading2"/>
      </w:pPr>
      <w:r>
        <w:t>C. 2板后备池：只做“谁能成为新分支龙”的观察</w:t>
      </w:r>
    </w:p>
    <w:p>
      <w:pPr>
        <w:pStyle w:val="ListBullet"/>
        <w:spacing w:after="40"/>
      </w:pPr>
      <w:r>
        <w:t>固态电池：传艺科技、紫竹高科、上海洗霸。节前板块有广度，但10/8首先看板块是否整体回流，而不是单票孤立高开。</w:t>
      </w:r>
    </w:p>
    <w:p>
      <w:pPr>
        <w:pStyle w:val="ListBullet"/>
        <w:spacing w:after="40"/>
      </w:pPr>
      <w:r>
        <w:t>染料：亚邦股份。与善水科技存在题材联动，可用于判断分支强弱。</w:t>
      </w:r>
    </w:p>
    <w:p>
      <w:pPr>
        <w:pStyle w:val="ListBullet"/>
        <w:spacing w:after="40"/>
      </w:pPr>
      <w:r>
        <w:t>并购/转型：园林股份。需单独核公告属性和可交易性，避免把公告驱动误当自然空接。</w:t>
      </w:r>
    </w:p>
    <w:p>
      <w:pPr>
        <w:pStyle w:val="ListBullet"/>
        <w:spacing w:after="40"/>
      </w:pPr>
      <w:r>
        <w:t>消费/健康：均瑶健康。更适合作为消费方向强度参照。</w:t>
      </w:r>
    </w:p>
    <w:p>
      <w:pPr>
        <w:pStyle w:val="Heading1"/>
      </w:pPr>
      <w:r>
        <w:t>四、压突、空接、T+2：10月8日怎么用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590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10月8日动作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压突 Y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未确认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没有连续两个有效失败信号账本，不写“几压几”。若10/8出现有效突破，也要先过风险总闸门。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摸天花板规则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继续有效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如果盘中只是触及已确认Y，当天不买；只有真正从Y晋级到Y+1才属于突破候选。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广义空接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先找“首次成为有效新空间/隐形空间”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襄阳轴承最接近结构核心；3板梯队先做分离观察，不能因为板数正好就自动贴空接标签。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超级先手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本报告不事后补做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超级先手应发生在T日13:30–14:35的盘中窗口。9/30已过去，10/8不能把错过的9/30先手重新包装成新机会。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T+2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仅在前序锚定和晋级成功后启用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10/8如果确认主龙晋级，再为下一交易日建立分支T+2账本；不提前把2板股全部当T+2买点。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断板龙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10/8重点模型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新华传媒高位公告属性 + 中间断档 + 襄阳轴承实际空间，是当前最值得验证的结构。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五、10月8日开盘执行卡（给妈妈看的版本）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第一步永远先看风险，不先看哪只票最想买。若风险闸门仍是 CLOSED/UNKNOWN，当天前半小时只观察，不开主动新仓。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要看什么</w:t>
            </w:r>
          </w:p>
        </w:tc>
        <w:tc>
          <w:tcPr>
            <w:tcW w:type="dxa" w:w="532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对应动作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09:15–09:25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新华传媒竞价封单/是否开板；襄阳轴承、3板梯队谁强谁弱；高位股是否出现核按钮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只做排序，不下结论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09:25–09:35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非ST跌停风险、竞价负反馈、主线板块是否共振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风险未解除=不买；风险解除才进入候选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09:35–10:00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襄阳轴承是否主动换手承接/回封；3板梯队是否形成明确分离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优先看“主动性+分离”，不追纯一致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10:00以后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板块助攻、炸板回封质量、老空间是否真正失效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确认结构后再按模型处理；没有结构就不做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全天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若出现高位连续A杀、跌停扩散、新华传媒开板带崩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立即将闸门转TIGHT/CLOSED，停止新开仓</w:t>
            </w:r>
          </w:p>
        </w:tc>
      </w:tr>
    </w:tbl>
    <w:p>
      <w:pPr>
        <w:spacing w:after="40"/>
      </w:pPr>
    </w:p>
    <w:p>
      <w:pPr>
        <w:pStyle w:val="Heading1"/>
      </w:pPr>
      <w:r>
        <w:t>六、三套场景预案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盘面特征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A：强修复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新华传媒风险可控；襄阳轴承强承接并与3板梯队分离；跌停不扩散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风险闸门可从UNKNOWN向TIGHT/OPEN评估；先看襄阳轴承断板龙确认，再看最强3板分离者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B：高位分歧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新华传媒开板/巨震；襄阳轴承和3板梯队互相卡位；板块轮动快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只做观察或极小试错；不追一致加速；等待真正的分离和回封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C：风险扩散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高位连续核按钮、跌停扩散、节前强势股大面积低开低走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CLOSED：不做任何主动新仓；只记录谁抗跌、谁成为后续新周期候选</w:t>
            </w:r>
          </w:p>
        </w:tc>
      </w:tr>
    </w:tbl>
    <w:p>
      <w:pPr>
        <w:spacing w:after="40"/>
      </w:pPr>
    </w:p>
    <w:p>
      <w:pPr>
        <w:pStyle w:val="Heading1"/>
      </w:pPr>
      <w:r>
        <w:t>七、国庆期间已核实公告：只影响风险，不改写模式定义</w:t>
      </w:r>
    </w:p>
    <w:p>
      <w:pPr>
        <w:pStyle w:val="ListBullet"/>
        <w:spacing w:after="40"/>
      </w:pPr>
      <w:r>
        <w:t>新华传媒：10月1日披露股票交易异常波动暨风险提示；控股股东回复称除前期已披露重大资产重组外，不存在其他应披露重大事项。→ 继续按公告/重组高标特殊项处理。</w:t>
      </w:r>
    </w:p>
    <w:p>
      <w:pPr>
        <w:pStyle w:val="ListBullet"/>
        <w:spacing w:after="40"/>
      </w:pPr>
      <w:r>
        <w:t>时代万恒：10月1日披露股票交易风险提示，明确股价连续上涨风险；2026年上半年归母净利润为亏损。→ 10月8日从同梯队首选中降级。</w:t>
      </w:r>
    </w:p>
    <w:p>
      <w:pPr>
        <w:pStyle w:val="ListBullet"/>
        <w:spacing w:after="40"/>
      </w:pPr>
      <w:r>
        <w:t>襄阳轴承：节前已披露异常波动公告，称不存在应披露而未披露重大事项；10月1日显示拟于10月26日披露季报。→ 主要风险来自短期涨幅和交易结构，不是新增重大利好。</w:t>
      </w:r>
    </w:p>
    <w:p>
      <w:pPr>
        <w:pStyle w:val="ListBullet"/>
        <w:spacing w:after="40"/>
      </w:pPr>
      <w:r>
        <w:t>其余候选：截至本提前版生成时，未检索到足以改变上述空间身份的假期重大公告；10月6–7日仍需继续补核。</w:t>
      </w:r>
    </w:p>
    <w:p>
      <w:pPr>
        <w:pStyle w:val="Heading1"/>
      </w:pPr>
      <w:r>
        <w:t>八、10月8日早盘最后复核清单</w:t>
      </w:r>
    </w:p>
    <w:p>
      <w:pPr>
        <w:pStyle w:val="ListBullet"/>
        <w:spacing w:after="40"/>
      </w:pPr>
      <w:r>
        <w:t>核验 9/29、9/30 两日“非ST跌停家数”统一口径；若连续两日均≥10，风险闸门直接 CLOSED。</w:t>
      </w:r>
    </w:p>
    <w:p>
      <w:pPr>
        <w:pStyle w:val="ListBullet"/>
        <w:spacing w:after="40"/>
      </w:pPr>
      <w:r>
        <w:t>核验新华传媒是否继续一字、是否完成有效换手；未满足“连续两个正式交易日有效换手”前，不恢复公告空接资格。</w:t>
      </w:r>
    </w:p>
    <w:p>
      <w:pPr>
        <w:pStyle w:val="ListBullet"/>
        <w:spacing w:after="40"/>
      </w:pPr>
      <w:r>
        <w:t>补齐X历史主干账本，再计算C；不从当日Hmax倒推X。</w:t>
      </w:r>
    </w:p>
    <w:p>
      <w:pPr>
        <w:pStyle w:val="ListBullet"/>
        <w:spacing w:after="40"/>
      </w:pPr>
      <w:r>
        <w:t>补齐连续失败信号账本，再确定Y；没有两次连续有效信号就写“未形成”。</w:t>
      </w:r>
    </w:p>
    <w:p>
      <w:pPr>
        <w:pStyle w:val="ListBullet"/>
        <w:spacing w:after="40"/>
      </w:pPr>
      <w:r>
        <w:t>看襄阳轴承与3板梯队是否分离；弱转强、分时、回封只用于确认，不用于创造身份。</w:t>
      </w:r>
    </w:p>
    <w:p>
      <w:pPr>
        <w:pStyle w:val="ListBullet"/>
        <w:spacing w:after="40"/>
      </w:pPr>
      <w:r>
        <w:t>若10/6–10/7出现监管、停牌、业绩、重大合同、重组进展等公告，先更新风险与资格，再谈买点。</w:t>
      </w:r>
    </w:p>
    <w:p>
      <w:pPr>
        <w:pStyle w:val="Heading1"/>
      </w:pPr>
      <w:r>
        <w:t>九、数据来源与本版边界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99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来源/说明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私有规则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P0《A股每日操盘策略母规则_GPT执行版_v2》；P1《空接体系细分_压突模式理论整理稿》；P2《猫2_补全内容与盘口语言_初步整理版》；情绪材料仅作环境解释。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9/30行情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每日经济新闻/新浪、东方财富、财联社、金融界、公开连板复盘交叉核验。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公司公告</w:t>
            </w:r>
          </w:p>
        </w:tc>
        <w:tc>
          <w:tcPr>
            <w:tcW w:type="dxa" w:w="993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交易所公告转引页、东方财富/新浪财经公司公告页；新华传媒、时代万恒、襄阳轴承为重点核验对象。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