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2026年10月9日 A股盘前策略</w:t>
      </w:r>
    </w:p>
    <w:p>
      <w:pPr>
        <w:pStyle w:val="Heading1"/>
      </w:pPr>
      <w:r>
        <w:t>1 首页执行结论</w:t>
      </w:r>
    </w:p>
    <w:p>
      <w:r>
        <w:rPr>
          <w:b w:val="0"/>
        </w:rPr>
        <w:t>analysis_date：2026-10-08 17:42 北京时间    latest_market_date：2026-10-08    target_trade_date：2026-10-09</w:t>
      </w:r>
    </w:p>
    <w:p>
      <w:r>
        <w:rPr>
          <w:b/>
        </w:rPr>
        <w:t>无新开仓候选。风险总闸门 CLOSED：此前强控的完整解除证据不足，10月8日又有15只跌停及科技高位负反馈。次日只进行观察与已有持仓风险管理。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固定顺序</w:t>
            </w:r>
          </w:p>
        </w:tc>
        <w:tc>
          <w:tcPr>
            <w:tcW w:type="dxa" w:w="81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10月9日结论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P0风险结论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CLOSED。9月30日跌停数量在不同来源为9/12，10月8日全市场收盘15；连续A杀标的批量企稳未获证实。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AVOID。中周期暂判退潮中的局部修复，小周期暂判分化；置信度中。支持：指数普跌、3700余股下跌、CPO高位跌停；反证：固态电池逆势成梯队、连板晋级率58.33%。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无已核验的首次合格身份。新华传媒H8为并购重组缩量一字特殊排除；九阳与时代H4，以及四只H3，均未补齐空间主干X、C及首次锚定证据。</w:t>
            </w:r>
          </w:p>
        </w:tc>
      </w:tr>
      <w:tr>
        <w:trPr>
          <w:cantSplit/>
        </w:trPr>
        <w:tc>
          <w:tcPr>
            <w:tcW w:type="dxa" w:w="208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买点条件</w:t>
            </w:r>
          </w:p>
        </w:tc>
        <w:tc>
          <w:tcPr>
            <w:tcW w:type="dxa" w:w="81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风险关闭时不授权主动新开仓。竞价高开、封板或弱转强均不能解除。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P0仓位及执行</w:t>
            </w:r>
          </w:p>
        </w:tc>
        <w:tc>
          <w:tcPr>
            <w:tcW w:type="dxa" w:w="81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主动新增仓位为0；已有持仓按原退出计划和实际可成交性处理。</w:t>
            </w:r>
          </w:p>
        </w:tc>
      </w:tr>
    </w:tbl>
    <w:p>
      <w:pPr>
        <w:spacing w:after="20"/>
      </w:pPr>
    </w:p>
    <w:p>
      <w:r>
        <w:rPr>
          <w:b w:val="0"/>
        </w:rPr>
        <w:t>Hmax=8（新华传媒600825，重组缩量一字特殊）；X=UNKNOWN；C=UNKNOWN；Y=UNKNOWN；核心观察H：九阳股份002242=4、时代万恒600241=4、传艺科技002866=3、紫竹高科002058=3、上海洗霸603200=3、园林股份605303=3。X≠C≠Y。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904"/>
      </w:tblGrid>
      <w:tr>
        <w:trPr>
          <w:cantSplit/>
          <w:tblHeader/>
        </w:trPr>
        <w:tc>
          <w:tcPr>
            <w:tcW w:type="dxa" w:w="43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10月9日第一次可操作或验证对象</w:t>
            </w:r>
          </w:p>
        </w:tc>
        <w:tc>
          <w:tcPr>
            <w:tcW w:type="dxa" w:w="59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无新开仓候选</w:t>
            </w:r>
          </w:p>
        </w:tc>
        <w:tc>
          <w:tcPr>
            <w:tcW w:type="dxa" w:w="59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主体身份、C与首次窗口未核全；风险CLOSED另行否决主动交易。</w:t>
            </w:r>
          </w:p>
        </w:tc>
      </w:tr>
    </w:tbl>
    <w:p>
      <w:pPr>
        <w:spacing w:after="20"/>
      </w:pPr>
    </w:p>
    <w:p>
      <w:r>
        <w:rPr>
          <w:b w:val="0"/>
        </w:rPr>
        <w:t>主流分支：固态电池、航运与重组高位。固态电池有多股收盘封板，但最早有效封板、封单稳定性及真实带动链未核全；本分支无已确认带队票。</w:t>
      </w:r>
    </w:p>
    <w:p>
      <w:r>
        <w:rPr>
          <w:b w:val="0"/>
        </w:rPr>
        <w:t>仅用于整理用户私有交易理论，不构成投资建议。</w:t>
      </w:r>
    </w:p>
    <w:p>
      <w:pPr>
        <w:pStyle w:val="Heading1"/>
        <w:pageBreakBefore/>
      </w:pPr>
      <w:r>
        <w:t>2 日期 风险总闸门与情绪环境</w:t>
      </w:r>
    </w:p>
    <w:p>
      <w:r>
        <w:rPr>
          <w:b w:val="0"/>
        </w:rPr>
        <w:t>上交所公告：10月1—7日休市，8日起交易，10月9日为下一个正式交易日。T日与T+1按交易日计算，长假不计入。10月9日股票停复牌及隔夜公告须盘前重新核对。[1]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风险证据</w:t>
            </w:r>
          </w:p>
        </w:tc>
        <w:tc>
          <w:tcPr>
            <w:tcW w:type="dxa" w:w="799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10月8日已核事实与结论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跌停与强控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每经全市场10月8日收盘45涨停、15跌停；财联社非ST/退市口径43涨停、10连板、32炸板。9月30日东财复盘池9跌停，每经全市场12跌停，统计边界不同。不能用较低数值自行解除强控。[2—5]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长光华芯、源杰科技20cm跌停，东山精密跌停；澳弘电子节前跌停后是否批量企稳需继续核查。指数下跌及3700余股下跌构成共振警示。[3,4]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预警针</w:t>
            </w:r>
          </w:p>
        </w:tc>
        <w:tc>
          <w:tcPr>
            <w:tcW w:type="dxa" w:w="79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昨日非ST连板指数连续两日变化未取得，记UNKNOWN；不以连板晋级率替代。</w:t>
            </w:r>
          </w:p>
        </w:tc>
      </w:tr>
      <w:tr>
        <w:trPr>
          <w:cantSplit/>
        </w:trPr>
        <w:tc>
          <w:tcPr>
            <w:tcW w:type="dxa" w:w="22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79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CLOSED：此前连续跌停强控的解除条件尚未完整证实，且新的负反馈扩散。不得主动新开仓。</w:t>
            </w:r>
          </w:p>
        </w:tc>
      </w:tr>
    </w:tbl>
    <w:p>
      <w:pPr>
        <w:spacing w:after="20"/>
      </w:pPr>
    </w:p>
    <w:p>
      <w:pPr>
        <w:pStyle w:val="Heading2"/>
      </w:pPr>
      <w:r>
        <w:t>情绪环境辅助判断</w:t>
      </w:r>
    </w:p>
    <w:p>
      <w:r>
        <w:rPr>
          <w:b w:val="0"/>
        </w:rPr>
        <w:t>指数：沪指−0.79%、深成指−2.07%、创业板指−3.15%，沪深成交约1.68万亿元。短线：10只连板、7只三板及以上，上一交易日12只连板中晋级率58.33%；固态电池逆势走强，CPO与半导体大幅回落。[3,4]</w:t>
      </w:r>
    </w:p>
    <w:p>
      <w:r>
        <w:rPr>
          <w:b w:val="0"/>
        </w:rPr>
        <w:t>中周期阶段假设：退潮中的局部修复；小周期阶段假设：分化。指数与固态电池短线赚钱效应背离，指数与成长板块负反馈共振。支持证据为普跌及科技高位跌停；反证为连板晋级和电池分支完整延续。待确认：跌停家数回个位数、连续A杀批量反抽、强势分支后排稳定。阶段置信度中，许可AVOID。</w:t>
      </w:r>
    </w:p>
    <w:p>
      <w:r>
        <w:rPr>
          <w:b w:val="0"/>
        </w:rPr>
        <w:t>E1第7—10节提供周期节点及冰点后转折区分，第21节提供退潮风险视角，第24—26节提供指数与情绪共振/背离视角。第12、13节正文缺失及配图缺失处不补造。模式T+1与情绪上涨第一阶段分账；E1不产生身份、买点或仓位。</w:t>
      </w:r>
    </w:p>
    <w:p>
      <w:pPr>
        <w:pStyle w:val="Heading1"/>
        <w:pageBreakBefore/>
      </w:pPr>
      <w: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440"/>
        <w:gridCol w:w="784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14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本次值</w:t>
            </w:r>
          </w:p>
        </w:tc>
        <w:tc>
          <w:tcPr>
            <w:tcW w:type="dxa" w:w="784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证据与边界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14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新华传媒600825连续8板；并购重组缩量一字，客观高度保留，常规广义空接资格排除。[3,6]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14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必须复原有效空间主干和全淘汰事件；新华8板不能直接代入X。9月30日旧结论未当成已核事实。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14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X未核实，不能使用clamp(X−3,3,5)给观察票放行；从3板重算状态亦待核。</w:t>
            </w:r>
          </w:p>
        </w:tc>
      </w:tr>
      <w:tr>
        <w:trPr>
          <w:cantSplit/>
        </w:trPr>
        <w:tc>
          <w:tcPr>
            <w:tcW w:type="dxa" w:w="9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4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784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连续两个有效A/B压制信号的T日、失败高度与中断状态未核全。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14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逐票</w:t>
            </w:r>
          </w:p>
        </w:tc>
        <w:tc>
          <w:tcPr>
            <w:tcW w:type="dxa" w:w="784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新华8；九阳、时代4；传艺、紫竹、上海洗霸、园林3。N+反包另计，不作连续板。</w:t>
            </w:r>
          </w:p>
        </w:tc>
      </w:tr>
    </w:tbl>
    <w:p>
      <w:pPr>
        <w:spacing w:after="20"/>
      </w:pPr>
    </w:p>
    <w:p>
      <w:r>
        <w:rPr>
          <w:b w:val="0"/>
        </w:rPr>
        <w:t>X≠C≠Y。上一个已生效C快照也未复原，不能回看10月8日盘中超级先手是否“通过C”。当日X/C更新和重置不以单日涨停数量推定。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空间/压突来源账本</w:t>
            </w:r>
          </w:p>
        </w:tc>
        <w:tc>
          <w:tcPr>
            <w:tcW w:type="dxa" w:w="68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9月30日有效空间锚及10月8日晋级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九阳、时代从H3至H4；是否为有效广义空接锚定梯队、是否首次新空间均待原始主干链核验。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A类 T+1同批全淘汰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上述已知两票晋级，不能称该组全淘汰；其他T日锚定组未完整复原。</w:t>
            </w:r>
          </w:p>
        </w:tc>
      </w:tr>
      <w:tr>
        <w:trPr>
          <w:cantSplit/>
        </w:trPr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B类 T+2有效梯队全失败</w:t>
            </w:r>
          </w:p>
        </w:tc>
        <w:tc>
          <w:tcPr>
            <w:tcW w:type="dxa" w:w="68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T+2客观难以上车等前提未核，不能计入。</w:t>
            </w:r>
          </w:p>
        </w:tc>
      </w:tr>
      <w:tr>
        <w:trPr>
          <w:cantSplit/>
        </w:trPr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最近两次连续有效压制及Y</w:t>
            </w:r>
          </w:p>
        </w:tc>
        <w:tc>
          <w:tcPr>
            <w:tcW w:type="dxa" w:w="68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无完整可追溯信号对；Y UNKNOWN，H与Y的屋顶下/摸顶/突破不判定。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4 目标日第一次可操作或验证对象</w:t>
      </w:r>
    </w:p>
    <w:p>
      <w:r>
        <w:rPr>
          <w:b w:val="0"/>
        </w:rPr>
        <w:t>首页无已核验第一次对象。以下是结构观察，不具有新开仓授权；主体规则资格缺口与情绪回避、风险CLOSED分别成立。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032"/>
        <w:gridCol w:w="3600"/>
      </w:tblGrid>
      <w:tr>
        <w:trPr>
          <w:cantSplit/>
          <w:tblHeader/>
        </w:trPr>
        <w:tc>
          <w:tcPr>
            <w:tcW w:type="dxa" w:w="259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股票与严格H</w:t>
            </w:r>
          </w:p>
        </w:tc>
        <w:tc>
          <w:tcPr>
            <w:tcW w:type="dxa" w:w="403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10月8日结构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目标日10月9日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H8</w:t>
            </w:r>
          </w:p>
        </w:tc>
        <w:tc>
          <w:tcPr>
            <w:tcW w:type="dxa" w:w="40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重组缩量一字，未核连续两个高位有效换手日；公告空接龙资格未恢复。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仅核开板、成交、换手与公告；无常规新开仓窗口。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九阳股份002242 H4</w:t>
            </w:r>
          </w:p>
        </w:tc>
        <w:tc>
          <w:tcPr>
            <w:tcW w:type="dxa" w:w="40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机器人概念且连板，市场宽口径另有“羊”字炒作；是否首次新/隐形空间及C通过待核。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T日未正式设定；不把H4晋级自动写为狭义空接或控怪。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 H4</w:t>
            </w:r>
          </w:p>
        </w:tc>
        <w:tc>
          <w:tcPr>
            <w:tcW w:type="dxa" w:w="403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电池分支高度票；是否具板块带动需封板先后证据。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T日未正式设定；不把同题材涨停倒推带队。</w:t>
            </w:r>
          </w:p>
        </w:tc>
      </w:tr>
      <w:tr>
        <w:trPr>
          <w:cantSplit/>
        </w:trPr>
        <w:tc>
          <w:tcPr>
            <w:tcW w:type="dxa" w:w="259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传艺、紫竹、上海洗霸 H3</w:t>
            </w:r>
          </w:p>
        </w:tc>
        <w:tc>
          <w:tcPr>
            <w:tcW w:type="dxa" w:w="403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固态电池同分支三板，存在同身位竞争；园林H3为重组特殊。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分离和唯一胜出须盘中验证；风险未解除时仍不执行。</w:t>
            </w:r>
          </w:p>
        </w:tc>
      </w:tr>
    </w:tbl>
    <w:p>
      <w:pPr>
        <w:spacing w:after="20"/>
      </w:pPr>
    </w:p>
    <w:p>
      <w:r>
        <w:rPr>
          <w:b w:val="0"/>
        </w:rPr>
        <w:t>9月30日T日若已独立成立，则10月8日为T+1，10月9日为T+2；10月8日新T日若经补证成立，10月9日为T+1。不得将已经过去的10月8日首次窗口移到10月9日。</w:t>
      </w:r>
    </w:p>
    <w:p>
      <w:pPr>
        <w:pStyle w:val="Heading1"/>
        <w:pageBreakBefore/>
      </w:pPr>
      <w:r>
        <w:t>5 10月8日超级先手复盘与10月9日常规节点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128"/>
      </w:tblGrid>
      <w:tr>
        <w:trPr>
          <w:cantSplit/>
          <w:tblHeader/>
        </w:trPr>
        <w:tc>
          <w:tcPr>
            <w:tcW w:type="dxa" w:w="309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712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10月8日盘中超级先手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风险闸门未证明解除；上一收盘C快照、当时唯一最高空间、振幅与回封逐笔未完整复核，故无已核验可执行先手。收盘涨停不作倒推。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10月8日空接断板龙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上方被动空间明显失效与下方逐级上位的盘中完整链未核；不将潜在断板龙笼统列为先手。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收盘后10月9日常规节点</w:t>
            </w:r>
          </w:p>
        </w:tc>
        <w:tc>
          <w:tcPr>
            <w:tcW w:type="dxa" w:w="712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无已核验首次介入对象；只观察主体资格是否在新的独立模式中成立。</w:t>
            </w:r>
          </w:p>
        </w:tc>
      </w:tr>
      <w:tr>
        <w:trPr>
          <w:cantSplit/>
        </w:trPr>
        <w:tc>
          <w:tcPr>
            <w:tcW w:type="dxa" w:w="309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10月9日待触发先手</w:t>
            </w:r>
          </w:p>
        </w:tc>
        <w:tc>
          <w:tcPr>
            <w:tcW w:type="dxa" w:w="712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13:30—14:35观察唯一最高有效空间、老空间失效、10cm振幅≤9.99点/20cm≤19.99点、主动封板或回封及带队后排同步。CLOSED下仅记录，不新增。14:35后停止新增。</w:t>
            </w:r>
          </w:p>
        </w:tc>
      </w:tr>
    </w:tbl>
    <w:p>
      <w:pPr>
        <w:spacing w:after="20"/>
      </w:pPr>
    </w:p>
    <w:p>
      <w:r>
        <w:rPr>
          <w:b w:val="0"/>
        </w:rPr>
        <w:t>老空间开盘快速核跌停的特殊前置情形亦须现场核实。并列未分离、分时剧震、旧空间仍强、不能成交或风险未解除，一律取消。禁止提前低吸、主观半路。</w:t>
      </w:r>
    </w:p>
    <w:p>
      <w:pPr>
        <w:pStyle w:val="Heading1"/>
        <w:pageBreakBefore/>
      </w:pPr>
      <w:r>
        <w:t>6 T日有望成为预选池与逐票淘汰</w:t>
      </w:r>
    </w:p>
    <w:p>
      <w:r>
        <w:rPr>
          <w:b w:val="0"/>
        </w:rPr>
        <w:t>10月8日正式“有望成为广义空接龙”预选池为空：新空间锚定、X/C及盘口带动链未完整核实。以下对象仍列观察，不能把观察身份写为最终确认。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76"/>
        <w:gridCol w:w="4680"/>
      </w:tblGrid>
      <w:tr>
        <w:trPr>
          <w:cantSplit/>
          <w:tblHeader/>
        </w:trPr>
        <w:tc>
          <w:tcPr>
            <w:tcW w:type="dxa" w:w="3168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股票 / 题材 / H</w:t>
            </w:r>
          </w:p>
        </w:tc>
        <w:tc>
          <w:tcPr>
            <w:tcW w:type="dxa" w:w="237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身份与时间</w:t>
            </w:r>
          </w:p>
        </w:tc>
        <w:tc>
          <w:tcPr>
            <w:tcW w:type="dxa" w:w="468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排除及验证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新华传媒600825 / 重组 / 8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公告连续一字特殊；公告空接T未设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未核连续两个有效换手日；不通过常规C过滤。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九阳股份002242 / 机器人宽口径 / 4</w:t>
            </w:r>
          </w:p>
        </w:tc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有望成为狭义空接或控怪均证据不足；T未设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最高有效空间、C、主动带队及压缩次数未知。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时代万恒600241 / 电池 / 4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广义空接预期未确认；T未设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同身位九阳竞争，空间身份和C未知。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传艺科技002866 / 固态电池 / 3</w:t>
            </w:r>
          </w:p>
        </w:tc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同组观察；T未设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H3不自动等于新空间；封板先后与板块带动待核。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紫竹高科002058 / 固态电池 / 3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同组观察；T未设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同上。旧名称“威尔泰”不另算一票。</w:t>
            </w:r>
          </w:p>
        </w:tc>
      </w:tr>
      <w:tr>
        <w:trPr>
          <w:cantSplit/>
        </w:trPr>
        <w:tc>
          <w:tcPr>
            <w:tcW w:type="dxa" w:w="3168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上海洗霸603200 / 固态电池 / 3</w:t>
            </w:r>
          </w:p>
        </w:tc>
        <w:tc>
          <w:tcPr>
            <w:tcW w:type="dxa" w:w="237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同组观察；T未设</w:t>
            </w:r>
          </w:p>
        </w:tc>
        <w:tc>
          <w:tcPr>
            <w:tcW w:type="dxa" w:w="468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同上。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园林股份605303 / 重组 / 3</w:t>
            </w:r>
          </w:p>
        </w:tc>
        <w:tc>
          <w:tcPr>
            <w:tcW w:type="dxa" w:w="237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复牌重组特殊；T未设</w:t>
            </w:r>
          </w:p>
        </w:tc>
        <w:tc>
          <w:tcPr>
            <w:tcW w:type="dxa" w:w="468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公告及起手一字过滤，两个高位有效换手日未核。</w:t>
            </w:r>
          </w:p>
        </w:tc>
      </w:tr>
    </w:tbl>
    <w:p>
      <w:pPr>
        <w:spacing w:after="20"/>
      </w:pPr>
    </w:p>
    <w:p>
      <w:r>
        <w:rPr>
          <w:b w:val="0"/>
        </w:rPr>
        <w:t>全票共通：Hmax8、X/C/Y UNKNOWN；停复牌及隔夜公告须10月9日开盘前再核。是否首次空间、是否通过C、叠加身份、首次窗口均不能确认。10月8日先手未确认；10月9日若低预期、被同组反卡、题材后排转弱或风险仍关闭，则维持不新开。已有持仓依原退出规则管理。</w:t>
      </w:r>
    </w:p>
    <w:p>
      <w:pPr>
        <w:pStyle w:val="Heading1"/>
        <w:pageBreakBefore/>
      </w:pPr>
      <w:r>
        <w:t>7 广义空接细分及其他模式扫描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704"/>
      </w:tblGrid>
      <w:tr>
        <w:trPr>
          <w:cantSplit/>
          <w:tblHeader/>
        </w:trPr>
        <w:tc>
          <w:tcPr>
            <w:tcW w:type="dxa" w:w="252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770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核验结果与禁止条件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狭义自然空接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候选均未同时证明新空间、H≤C及主动带动；无正式T日。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空中飘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压缩起点、跳过梯队与独苗结构未复原；身份待核。T日先手未证，T+1常规接力默认舍弃。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控怪龙/空拐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原高标、断层数、连续压缩次数及前空中飘淘汰反馈未齐；不得以“次日上涨”定义。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断板龙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上方是否纯被动擦板、两层断档、下方联动未齐；有望成为的结构观察亦不等于正式T日。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盘中上方失效—下方逐级上位证据未齐，不给提前先手买点。</w:t>
            </w:r>
          </w:p>
        </w:tc>
      </w:tr>
      <w:tr>
        <w:trPr>
          <w:cantSplit/>
        </w:trPr>
        <w:tc>
          <w:tcPr>
            <w:tcW w:type="dxa" w:w="252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770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Y来源账本不足；不能把H4/H8判为摸顶或突破。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T+2/T+3/T+4及工具</w:t>
            </w:r>
          </w:p>
        </w:tc>
        <w:tc>
          <w:tcPr>
            <w:tcW w:type="dxa" w:w="770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T+2客观难以上车前提未核；T+3、T+4需依各自原T日。负阴抱阳、空转趋、首阴、弱转强、分离仅观察，不反向创造身份。4K/6K参数需回查原文/体系依据不足。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8 板块梯队 主流分支与带队票验证</w:t>
      </w:r>
    </w:p>
    <w:p>
      <w:r>
        <w:rPr>
          <w:b w:val="0"/>
        </w:rPr>
        <w:t>同日收盘封板与盘中触板炸板、仅跟涨分别统计。财联社全市场有43只收盘涨停、32只封板未遂；各细分分支逐股炸板与跟涨名单不全，不以全市场数字充当分支数量。[3]</w:t>
      </w:r>
    </w:p>
    <w:p>
      <w:pPr>
        <w:pStyle w:val="Heading2"/>
      </w:pPr>
      <w:r>
        <w:t>A 核心观察对象板块验证表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4536"/>
        <w:gridCol w:w="3024"/>
      </w:tblGrid>
      <w:tr>
        <w:trPr>
          <w:cantSplit/>
          <w:tblHeader/>
        </w:trPr>
        <w:tc>
          <w:tcPr>
            <w:tcW w:type="dxa" w:w="26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对象与题材</w:t>
            </w:r>
          </w:p>
        </w:tc>
        <w:tc>
          <w:tcPr>
            <w:tcW w:type="dxa" w:w="4536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封板跟风 / 梯队</w:t>
            </w:r>
          </w:p>
        </w:tc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带动与结论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时代万恒H4；严格电池身份待细化，宽口径固态电池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严格口径数量待核；宽口径封板：传艺002866、紫竹002058、上海洗霸603200 H3，龙蟠603906、兴业603928 H2，雄韬002733、丰元002805、领湃300530首板。炸板及仅跟涨各名单待核。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宽口径首/2/3/4齐全；严格细分完整性待确认。封板先后及时代是否真实带动待盘中确认。</w:t>
            </w:r>
          </w:p>
        </w:tc>
      </w:tr>
      <w:tr>
        <w:trPr>
          <w:cantSplit/>
        </w:trPr>
        <w:tc>
          <w:tcPr>
            <w:tcW w:type="dxa" w:w="26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九阳股份H4；机器人/“羊”字为不同口径</w:t>
            </w:r>
          </w:p>
        </w:tc>
        <w:tc>
          <w:tcPr>
            <w:tcW w:type="dxa" w:w="4536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同分支收盘封板跟风人数和名单未核；首/2/3梯队待确认；盘中三羊马触板但是否炸板需逐笔。</w:t>
            </w:r>
          </w:p>
        </w:tc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无已证明带动，带队票待确认。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新华传媒H8；重组传媒</w:t>
            </w:r>
          </w:p>
        </w:tc>
        <w:tc>
          <w:tcPr>
            <w:tcW w:type="dxa" w:w="4536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同细分封板、炸板、仅跟涨名单待核；起手一字特殊。</w:t>
            </w:r>
          </w:p>
        </w:tc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不能以客观高度确认带队或常规空接。</w:t>
            </w:r>
          </w:p>
        </w:tc>
      </w:tr>
    </w:tbl>
    <w:p>
      <w:pPr>
        <w:spacing w:after="20"/>
      </w:pPr>
    </w:p>
    <w:p>
      <w:pPr>
        <w:pStyle w:val="Heading2"/>
      </w:pPr>
      <w: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60"/>
        <w:gridCol w:w="446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主流分支</w:t>
            </w:r>
          </w:p>
        </w:tc>
        <w:tc>
          <w:tcPr>
            <w:tcW w:type="dxa" w:w="396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最高 / 首板2板3板</w:t>
            </w:r>
          </w:p>
        </w:tc>
        <w:tc>
          <w:tcPr>
            <w:tcW w:type="dxa" w:w="446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最早有效封板 / 最稳 / 辨识度 / 主带队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固态电池宽口径</w:t>
            </w:r>
          </w:p>
        </w:tc>
        <w:tc>
          <w:tcPr>
            <w:tcW w:type="dxa" w:w="396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时代H4；H3传艺、紫竹、上海洗霸；H2龙蟠、兴业；首板雄韬、丰元、领湃。宽口径齐全，严格细分待核。</w:t>
            </w:r>
          </w:p>
        </w:tc>
        <w:tc>
          <w:tcPr>
            <w:tcW w:type="dxa" w:w="44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最早有效封板及最稳待分时/封单核验；辨识度高度观察时代、传艺等，尚无综合证据。本分支无已确认带队票；10月9日待验证。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航运港口</w:t>
            </w:r>
          </w:p>
        </w:tc>
        <w:tc>
          <w:tcPr>
            <w:tcW w:type="dxa" w:w="396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中远海能、招商南油首板已核；其他高度及首/2/3名单待核，梯队完整性待确认。</w:t>
            </w:r>
          </w:p>
        </w:tc>
        <w:tc>
          <w:tcPr>
            <w:tcW w:type="dxa" w:w="446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封板顺序、封单与跟风扩散待核。本分支无已确认带队票；10月9日待验证。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重组传媒</w:t>
            </w:r>
          </w:p>
        </w:tc>
        <w:tc>
          <w:tcPr>
            <w:tcW w:type="dxa" w:w="396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新华H8特殊；同分支首/2/3及跟风待核。</w:t>
            </w:r>
          </w:p>
        </w:tc>
        <w:tc>
          <w:tcPr>
            <w:tcW w:type="dxa" w:w="446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起手一字不作最早有效带队证明。本分支无已确认带队票。</w:t>
            </w:r>
          </w:p>
        </w:tc>
      </w:tr>
    </w:tbl>
    <w:p>
      <w:pPr>
        <w:spacing w:after="20"/>
      </w:pPr>
    </w:p>
    <w:p>
      <w:r>
        <w:rPr>
          <w:b w:val="0"/>
        </w:rPr>
        <w:t>最高票、最早有效封板票、封单最稳票、辨识度最高票三项可能不同。没有分钟级时间先后与稳定性证据，不能从同日上涨倒推出题材带动；主带队一律待确认。</w:t>
      </w:r>
    </w:p>
    <w:p>
      <w:pPr>
        <w:pStyle w:val="Heading1"/>
        <w:pageBreakBefore/>
      </w:pPr>
      <w:r>
        <w:t>9 核心观察的竞价盘中执行卡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3384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504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信号出现怎么做</w:t>
            </w:r>
          </w:p>
        </w:tc>
        <w:tc>
          <w:tcPr>
            <w:tcW w:type="dxa" w:w="338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7"/>
              </w:rPr>
              <w:t>信号不出现怎么做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09:15—09:25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记录竞价撤单、核跌停、公告、停复牌与前高标反馈；CLOSED下不下新单。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维持观察与已有持仓风险预案。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09:30—09:45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观察九阳、时代同身位分离及固态电池后排是否同步；风险未解除不交易。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不以高开或秒板补造弱转强。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09:45—13:30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更新板块封板/炸板/跟涨三类和均价承接；先核带队票是否真实带动。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不推定带队，持仓按原退出条件管理。</w:t>
            </w:r>
          </w:p>
        </w:tc>
      </w:tr>
      <w:tr>
        <w:trPr>
          <w:cantSplit/>
        </w:trPr>
        <w:tc>
          <w:tcPr>
            <w:tcW w:type="dxa" w:w="18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13:30—14:35</w:t>
            </w:r>
          </w:p>
        </w:tc>
        <w:tc>
          <w:tcPr>
            <w:tcW w:type="dxa" w:w="504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仅在风险闸门重新完整核验允许后，才按P0唯一空间、旧空间弱、C快照与振幅及主动回封条件评估先手；本次CLOSED只记录。</w:t>
            </w:r>
          </w:p>
        </w:tc>
        <w:tc>
          <w:tcPr>
            <w:tcW w:type="dxa" w:w="338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不低吸、不半路。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14:35以后</w:t>
            </w:r>
          </w:p>
        </w:tc>
        <w:tc>
          <w:tcPr>
            <w:tcW w:type="dxa" w:w="504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不新增超级先手；核收盘身份与下一交易日账本。</w:t>
            </w:r>
          </w:p>
        </w:tc>
        <w:tc>
          <w:tcPr>
            <w:tcW w:type="dxa" w:w="338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7"/>
              </w:rPr>
              <w:t>同样不新增，记录证伪。</w:t>
            </w:r>
          </w:p>
        </w:tc>
      </w:tr>
    </w:tbl>
    <w:p>
      <w:pPr>
        <w:spacing w:after="20"/>
      </w:pPr>
    </w:p>
    <w:p>
      <w:r>
        <w:rPr>
          <w:b w:val="0"/>
        </w:rPr>
        <w:t>任何分支带队票及后排联动均须次日实测；竞价封单、撤单、逐笔、开板次数和实时分时均价标“待盘中确认”。</w:t>
      </w:r>
    </w:p>
    <w:p>
      <w:pPr>
        <w:pStyle w:val="Heading1"/>
        <w:pageBreakBefore/>
      </w:pPr>
      <w:r>
        <w:t>10 三套条件化剧本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600"/>
        <w:gridCol w:w="3600"/>
      </w:tblGrid>
      <w:tr>
        <w:trPr>
          <w:cantSplit/>
          <w:tblHeader/>
        </w:trPr>
        <w:tc>
          <w:tcPr>
            <w:tcW w:type="dxa" w:w="3024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3600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超预期：固态电池前排与后排同步，跌停收缩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先复核P0解除强控的完整条件和X/C及正式身份；未核齐则仍观察。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对照原持仓身份及退出计划；不因板块上涨自动追加。</w:t>
            </w:r>
          </w:p>
        </w:tc>
      </w:tr>
      <w:tr>
        <w:trPr>
          <w:cantSplit/>
        </w:trPr>
        <w:tc>
          <w:tcPr>
            <w:tcW w:type="dxa" w:w="3024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符合预期：局部连板而指数与后排分化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不新开，统计有效封板、炸板、仅跟涨及次日带动。</w:t>
            </w:r>
          </w:p>
        </w:tc>
        <w:tc>
          <w:tcPr>
            <w:tcW w:type="dxa" w:w="3600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观察承接与题材联动，按既有止盈止损计划执行。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低预期：高位断板、跌停扩散或同组反卡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取消观察候选，维持风险关闭。</w:t>
            </w:r>
          </w:p>
        </w:tc>
        <w:tc>
          <w:tcPr>
            <w:tcW w:type="dxa" w:w="3600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优先检查流动性与可成交退出；跌停时不承诺能够成交。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日期 / 模式时间</w:t>
            </w:r>
          </w:p>
        </w:tc>
        <w:tc>
          <w:tcPr>
            <w:tcW w:type="dxa" w:w="7272"/>
            <w:shd w:fill="263C4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b/>
                <w:color w:val="FFFFFF"/>
                <w:sz w:val="18"/>
              </w:rPr>
              <w:t>后续记录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9月30日T日假设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10月8日=T+1，10月9日=T+2。只有9月30日身份与10月8日客观难上车均核全，才能评估T+2补救；本次不成立。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10月8日T日假设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10月9日=T+1，10月12日=T+2，10月13日=T+3，10月14日=T+4；假设不等于模式确认。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新华传媒公告空接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高位连续两个正式交易日有效换手证据未齐，资格恢复日与首次窗口未设。</w:t>
            </w:r>
          </w:p>
        </w:tc>
      </w:tr>
      <w:tr>
        <w:trPr>
          <w:cantSplit/>
        </w:trPr>
        <w:tc>
          <w:tcPr>
            <w:tcW w:type="dxa" w:w="295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10月8日预选带队票</w:t>
            </w:r>
          </w:p>
        </w:tc>
        <w:tc>
          <w:tcPr>
            <w:tcW w:type="dxa" w:w="7272"/>
            <w:shd w:fill="F4F6F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无已确认主带队票；10月9日的开盘、收盘、是否继续带动及后排反馈待交易后记入。</w:t>
            </w:r>
          </w:p>
        </w:tc>
      </w:tr>
      <w:tr>
        <w:trPr>
          <w:cantSplit/>
        </w:trPr>
        <w:tc>
          <w:tcPr>
            <w:tcW w:type="dxa" w:w="295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空转趋/首阴/4K/6K</w:t>
            </w:r>
          </w:p>
        </w:tc>
        <w:tc>
          <w:tcPr>
            <w:tcW w:type="dxa" w:w="7272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59" w:lineRule="auto"/>
            </w:pPr>
            <w:r>
              <w:rPr>
                <w:rFonts w:ascii="Noto Sans CJK SC DemiLight" w:hAnsi="Noto Sans CJK SC DemiLight" w:eastAsia="Noto Sans CJK SC DemiLight"/>
                <w:b w:val="0"/>
                <w:color w:val="000000"/>
                <w:sz w:val="18"/>
              </w:rPr>
              <w:t>断板趋势观察不直接给买点；4K/6K量价和失效参数需回查原文/体系依据不足。</w:t>
            </w:r>
          </w:p>
        </w:tc>
      </w:tr>
    </w:tbl>
    <w:p>
      <w:pPr>
        <w:spacing w:after="20"/>
      </w:pPr>
    </w:p>
    <w:p>
      <w:r>
        <w:rPr>
          <w:b w:val="0"/>
        </w:rPr>
        <w:t>带队票次日映射只在完整证据形成后使用：继续涨停且后排强化才支持板块延续；高开低走提示带队失败；低开闷杀提示证伪。单票独涨而后排退潮应记“个股抱团/板块延续不足”。</w:t>
      </w:r>
    </w:p>
    <w:p>
      <w:pPr>
        <w:pStyle w:val="Heading1"/>
        <w:pageBreakBefore/>
      </w:pPr>
      <w:r>
        <w:t>12 受控未知项 数据来源与风险提示</w:t>
      </w:r>
    </w:p>
    <w:p>
      <w:r>
        <w:rPr>
          <w:b w:val="0"/>
        </w:rPr>
        <w:t>受控未知：非ST跌停逐票统一口径及连续A杀批量企稳；昨日非ST连板指数；完整空间主干X与上日C快照；两个连续有效压制信号及Y；候选公告、停复牌；逐笔竞价/撤单、封板时间和稳定性；细分分支炸板与仅跟涨名单、带队次日表现。上述任何未知不得被推断为肯定。</w:t>
      </w:r>
    </w:p>
    <w:p>
      <w:r>
        <w:rPr>
          <w:b w:val="0"/>
        </w:rPr>
        <w:t>来源与抓取时间：北京时间 2026-10-08 17:42。 [1] 上交所2026年中秋国庆休市公告 https://www.sse.com.cn/disclosure/announcement/general/c/c_20260915_10832273.shtml</w:t>
      </w:r>
    </w:p>
    <w:p>
      <w:r>
        <w:rPr>
          <w:b w:val="0"/>
        </w:rPr>
        <w:t>[2] 每经9月30日涨跌停统计 https://m.nbd.com.cn/articles/2026-09-30/4595770.html ；[3] 财联社10月8日15:38连板股分析 https://www.cls.cn/detail/2499343</w:t>
      </w:r>
    </w:p>
    <w:p>
      <w:r>
        <w:rPr>
          <w:b w:val="0"/>
        </w:rPr>
        <w:t>[4] 每经10月8日15:04收评 https://www.nbd.com.cn/articles/2026-10-08/4598325.html ；[5] 9月30日东财池口径（9跌停） https://www.zhiguwang.cn/static/reviews/20260930.html</w:t>
      </w:r>
    </w:p>
    <w:p>
      <w:r>
        <w:rPr>
          <w:b w:val="0"/>
        </w:rPr>
        <w:t>[6] 东财10月8日15:32涨停复盘 https://stock.eastmoney.com/a/cztfp.html ；[7] 每经10月8日全市场45涨停、15跌停 https://news.ifeng.com/c/8x3YZX73iQ2</w:t>
      </w:r>
    </w:p>
    <w:p>
      <w:r>
        <w:rPr>
          <w:b w:val="0"/>
        </w:rPr>
        <w:t>口径差异保留：10月8日财联社非ST/退市43涨停与每经全市场45涨停；9月30日9与12跌停。未取得统一逐票清单前，不把这些数值混作同一统计序列。私有理论仅用于规则映射，不能替代当日市场证据。</w:t>
      </w:r>
    </w:p>
    <w:p>
      <w:r>
        <w:rPr>
          <w:b w:val="0"/>
        </w:rPr>
        <w:t>仅用于整理用户私有交易理论，不构成投资建议。所有执行均以风险闸门、真实盘口和可成交性为先，不承诺收益。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2026年10月9日  |  基于10月8日收盘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00" w:line="26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