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2026年10月15日 A股盘前策略</w:t>
      </w:r>
    </w:p>
    <w:p>
      <w:pPr>
        <w:pStyle w:val="Heading1"/>
      </w:pPr>
      <w:r>
        <w:t>1 首页执行结论</w:t>
      </w:r>
    </w:p>
    <w:p>
      <w:r>
        <w:rPr>
          <w:b w:val="0"/>
        </w:rPr>
        <w:t>analysis_date：2026-10-14 17:54 北京时间</w:t>
        <w:br/>
        <w:t>latest_market_date：2026-10-14    target_trade_date：2026-10-15</w:t>
      </w:r>
    </w:p>
    <w:p>
      <w:r>
        <w:rPr>
          <w:b/>
        </w:rPr>
        <w:t>无新开仓候选。昨日首次验证窗已经结束；今天没有核验成立的新空间首次常规窗口。风险 UNKNOWN，按 CLOSED 执行；情绪许可 AVOID。重点是风险退出与后续观察，不能把4板晋级写成明天首次空接买点。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判断顺序</w:t>
            </w:r>
          </w:p>
        </w:tc>
        <w:tc>
          <w:tcPr>
            <w:tcW w:type="dxa" w:w="82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10月15日执行结论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P0风险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UNKNOWN，按CLOSED。非ST跌停11/13两口径均回到两位数；持续A杀未解除，强控历史链和昨日非ST连板指数仍未核齐。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AVOID。中周期假设：退潮中修复失败、风险再扩散；小周期：反抽后再分歧。置信度中。支持回避：指数、广度、封板率同步恶化；反证：传媒前排及百洋继续4板。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主体候选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无已核验第一次可操作/验证对象。旧锚10月13日T，10月14日T+1已过；10月15日T+2只作有前提的独立后续筛选。</w:t>
            </w:r>
          </w:p>
        </w:tc>
      </w:tr>
      <w:tr>
        <w:trPr>
          <w:cantSplit/>
        </w:trPr>
        <w:tc>
          <w:tcPr>
            <w:tcW w:type="dxa" w:w="194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买点与P0仓位</w:t>
            </w:r>
          </w:p>
        </w:tc>
        <w:tc>
          <w:tcPr>
            <w:tcW w:type="dxa" w:w="82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没有获准买点，主动新增仓位0。主体资格补齐或盘中封板均不能自行解除风险限制。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最终动作</w:t>
            </w:r>
          </w:p>
        </w:tc>
        <w:tc>
          <w:tcPr>
            <w:tcW w:type="dxa" w:w="82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无持仓者观察；已有持仓根据预设退出、承接及可成交性管理，低预期优先风险退出。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Hmax=4：慈文传媒002343、新经典603096、百洋股份002696；核心观察H均4。X=UNKNOWN；C=UNKNOWN；Y=UNKNOWN。X≠C≠Y。新华传媒停牌，保留停牌前H10历史标记。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624"/>
      </w:tblGrid>
      <w:tr>
        <w:trPr>
          <w:cantSplit/>
          <w:tblHeader/>
        </w:trPr>
        <w:tc>
          <w:tcPr>
            <w:tcW w:type="dxa" w:w="36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明日第一次可操作/验证对象</w:t>
            </w:r>
          </w:p>
        </w:tc>
        <w:tc>
          <w:tcPr>
            <w:tcW w:type="dxa" w:w="66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结论与原因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66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普通T+1窗口已过；新空间/断板龙/公告空接新窗口证据未成立；T+2上游有效身份及客观补救前提尚不足。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主流分支：短剧/AI漫剧、出版IP、水产、PCB、冰雪设备、能源。慈文是短剧主带队预选，超声仅维持PCB前排；完整因果与封单稳定性尚不足，各分支无已确认唯一主带队票。</w:t>
      </w:r>
    </w:p>
    <w:p>
      <w:r>
        <w:rPr>
          <w:b w:val="0"/>
        </w:rPr>
        <w:t>仅用于整理用户私有交易理论，不构成投资建议。</w:t>
      </w:r>
    </w:p>
    <w:p>
      <w:pPr>
        <w:pStyle w:val="Heading1"/>
        <w:pageBreakBefore/>
      </w:pPr>
      <w:r>
        <w:t>2 日期、风险总闸门与情绪环境辅助判断</w:t>
      </w:r>
    </w:p>
    <w:p>
      <w:r>
        <w:rPr>
          <w:b w:val="0"/>
        </w:rPr>
        <w:t>上交所2026年休市安排确认国庆10月1日至7日休市、8日起开市；10月14日与15日为正式交易日。本次核验14日完整收盘，目标为15日。停牌标的按公告另行处理，不机械顺延买点。[S1]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风险项</w:t>
            </w:r>
          </w:p>
        </w:tc>
        <w:tc>
          <w:tcPr>
            <w:tcW w:type="dxa" w:w="84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核验结果与执行意义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跌停两日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10月13日非ST为8只；10月14日东方财富股池11只、腾讯收盘等于跌停价名单13只。两口径保留。昨日不足10，不能称这两日触发“连续两天≥10”。[S2,S5]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两口径差异</w:t>
            </w:r>
          </w:p>
        </w:tc>
        <w:tc>
          <w:tcPr>
            <w:tcW w:type="dxa" w:w="84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东方财富11只：正和生态605069、恒林603661、远程002692、天马603668、星网002829、农心001231、大金002487、有研600206、仁东002647、国恩002768、中材002080。腾讯另含信宇人688573、道生天合601026，13只均非ST。差异原因尚待核，不擅自选择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高位负反馈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天马3连跌停，大金、国恩2连跌停。丽人竞价涨停后收-8.93%；农心2进3失败收跌停；龙版竞价接近跌停后仍断板。不能认定批量A杀已企稳。[S2,S4,S5]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部分反证</w:t>
            </w:r>
          </w:p>
        </w:tc>
        <w:tc>
          <w:tcPr>
            <w:tcW w:type="dxa" w:w="84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华北收平、九阳+0.11%、时代+2.72%，提供局部抵抗；楚环仍-8.31%，持续跌停标的未消失，局部反抽不足以解除限制。[S5]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关键未知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此前强控是否已触发及解除的完整逐日链、昨日非ST连板指数连续两日精确读数、一字核跌停的实时承接仍未全部核齐。未知按关闭。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停复牌与公告</w:t>
            </w:r>
          </w:p>
        </w:tc>
        <w:tc>
          <w:tcPr>
            <w:tcW w:type="dxa" w:w="84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新华传媒10月13日起核查停牌，未核得新复牌日。新经典、百洋、醋化、超声、冰山最新风险/异动公告已读；荣丰/路畅/星帅尔公告或复牌特殊。[S6,S7]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最终风险</w:t>
            </w:r>
          </w:p>
        </w:tc>
        <w:tc>
          <w:tcPr>
            <w:tcW w:type="dxa" w:w="84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UNKNOWN，按CLOSED。今天数量重返两位数、负反馈扩散，不能凭3进4成功恢复交易权限。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情绪辅助判断：阶段假设不等于模式T日</w:t>
      </w:r>
    </w:p>
    <w:p>
      <w:r>
        <w:rPr>
          <w:b w:val="0"/>
        </w:rPr>
        <w:t>指数收盘：沪指3767.23，-0.88%；深成指12110.59，-1.97%；创业板2866.76，-3.10%。沪深成交14144亿元，较13日减少2615亿元。Wind口径上涨978、下跌4490；打板客979/4496，样本不同，两者均显示普遍亏钱。[S3,S4]</w:t>
      </w:r>
    </w:p>
    <w:p>
      <w:r>
        <w:rPr>
          <w:b w:val="0"/>
        </w:rPr>
        <w:t>非ST涨停36、连板15；其中H4三只、H3一只、H2十一只。财联社封板率60%（36封住、24未遂），打板客54.5%（36/66触板），保留6只触板统计差异。连板晋级财联社40%是4/10旧连板；打板客21.7%是15/69上一日全部涨停，分母不同。[S2—S4]</w:t>
      </w:r>
    </w:p>
    <w:p>
      <w:r>
        <w:rPr>
          <w:b w:val="0"/>
        </w:rPr>
        <w:t>中周期：退潮背景下修复失败、风险再扩散的假设；小周期：前一日修复后的再次分歧。市场总体指数与短线亏钱效应共振向下，传媒前排与水产局部背离。情绪许可AVOID；置信度中。支持为广度弱、炸板增加、持续A杀；反证为4板拓展和短剧首板扩散。</w:t>
      </w:r>
    </w:p>
    <w:p>
      <w:r>
        <w:rPr>
          <w:b w:val="0"/>
        </w:rPr>
        <w:t>待确认：跌停是否回落至个位数、连续A杀是否成批企稳、传媒后排是否同步承接、指数回撤是否缩小。不能只靠一支地天反包或4板高度宣告冰点后转势。E1第3节、第21—22节、第25—26节提供解释；缺少第12/13节正文及部分图，记“情绪依据不足/需回查原文”。</w:t>
      </w:r>
    </w:p>
    <w:p>
      <w:pPr>
        <w:pStyle w:val="Heading1"/>
        <w:pageBreakBefore/>
      </w:pPr>
      <w: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376"/>
        <w:gridCol w:w="6912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当日更新</w:t>
            </w:r>
          </w:p>
        </w:tc>
        <w:tc>
          <w:tcPr>
            <w:tcW w:type="dxa" w:w="69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69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慈文、新经典、百洋。新华停牌前H10为历史特殊，不虚增当日可交易最高层级。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9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有效空间主干的历史锚定与传递尚缺完整证据；原可交易H6降H3再升H4不能直接写X=4。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9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待有效X后按clamp(X-3,3,5)计算。H4需C≥4，通常需X≥7；不能因为H4客观居首而强行通过。新身份应比较其各自锚定T日的C。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91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最近两个连续有效A/B信号未完成，不能把新3进4当作突破Y=3。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逐票严格记录</w:t>
            </w:r>
          </w:p>
        </w:tc>
        <w:tc>
          <w:tcPr>
            <w:tcW w:type="dxa" w:w="69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H4三只；醋化H3；H2十一只；新华文轩13天9板、掌阅7天4板、安泰5天3板均严格H1；澳弘今日炸板，连续段断。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X≠C≠Y。C是否触发“从3板重算”仍待有效事件链；今天三只晋级，不能把10月13日锚观察组写成T+1全淘汰。盘中使用10月13日已生效C快照，目前仍UNKNOWN；10月14日收盘任何新值须补证后才生效。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具体日期与事件</w:t>
            </w:r>
          </w:p>
        </w:tc>
        <w:tc>
          <w:tcPr>
            <w:tcW w:type="dxa" w:w="72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空间及Y账本处理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10月12日旧H6组</w:t>
            </w:r>
          </w:p>
        </w:tc>
        <w:tc>
          <w:tcPr>
            <w:tcW w:type="dxa" w:w="72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九阳/时代H6；有效锚T及上支主干高度待核，未据此定X。</w:t>
            </w:r>
          </w:p>
        </w:tc>
      </w:tr>
      <w:tr>
        <w:trPr>
          <w:cantSplit/>
        </w:trPr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10月13日旧H6断板</w:t>
            </w:r>
          </w:p>
        </w:tc>
        <w:tc>
          <w:tcPr>
            <w:tcW w:type="dxa" w:w="72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九阳/时代7板失败不自动计A；华北缺T+2前提，不计B。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10月13日新H3组</w:t>
            </w:r>
          </w:p>
        </w:tc>
        <w:tc>
          <w:tcPr>
            <w:tcW w:type="dxa" w:w="72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五票首次最高H3，6→3缺4/5两层；仅控怪结构线索，主体未确认。</w:t>
            </w:r>
          </w:p>
        </w:tc>
      </w:tr>
      <w:tr>
        <w:trPr>
          <w:cantSplit/>
        </w:trPr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10月14日T+1结果</w:t>
            </w:r>
          </w:p>
        </w:tc>
        <w:tc>
          <w:tcPr>
            <w:tcW w:type="dxa" w:w="72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三只H4、两只断，部分强化；不是全灭，不反推C合法。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待核压制信号S1/S2</w:t>
            </w:r>
          </w:p>
        </w:tc>
        <w:tc>
          <w:tcPr>
            <w:tcW w:type="dxa" w:w="72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两个最近有效信号的日期、类型、对应锚T、失败高度、连续性、来源均UNKNOWN。本轮无新增有效A/B；不形成Y。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严格连续板全梯队（非ST，36只）</w:t>
      </w:r>
    </w:p>
    <w:p>
      <w:pPr>
        <w:spacing w:line="240" w:lineRule="auto" w:after="40"/>
      </w:pPr>
      <w:r>
        <w:rPr>
          <w:b w:val="0"/>
          <w:sz w:val="19"/>
        </w:rPr>
        <w:t>4板（3只）：新经典603096、百洋股份002696、慈文传媒002343</w:t>
      </w:r>
    </w:p>
    <w:p>
      <w:pPr>
        <w:spacing w:line="240" w:lineRule="auto" w:after="40"/>
      </w:pPr>
      <w:r>
        <w:rPr>
          <w:b w:val="0"/>
          <w:sz w:val="19"/>
        </w:rPr>
        <w:t>3板（1只）：醋化股份603968</w:t>
      </w:r>
    </w:p>
    <w:p>
      <w:pPr>
        <w:spacing w:line="240" w:lineRule="auto" w:after="40"/>
      </w:pPr>
      <w:r>
        <w:rPr>
          <w:b w:val="0"/>
          <w:sz w:val="19"/>
        </w:rPr>
        <w:t>2板（11只）：哈空调600202、万里股份600847、金奥博002917、路畅科技002813、龙江交通601188、荣丰控股000668、阳光乳业001318、航发科技600391、星帅尔002860、超声电子000823、冰山冷热000530</w:t>
      </w:r>
    </w:p>
    <w:p>
      <w:pPr>
        <w:spacing w:line="240" w:lineRule="auto" w:after="40"/>
      </w:pPr>
      <w:r>
        <w:rPr>
          <w:b w:val="0"/>
          <w:sz w:val="19"/>
        </w:rPr>
        <w:t>1板（21只）：新华文轩601811、富春股份300299、美能能源001299、松霖科技603992、开创国际600097、中国科传601858、华瓷股份001216、引力传媒603598、泰禾智能603656、粤宏远Ａ000573、郑州煤电600121、安泰集团600408、三维化学002469、中恒集团600252、韶能股份000601、七匹狼002029、电魂网络603258、掌阅科技603533、莱美药业300006、富春染织605189、宝鼎科技002552</w:t>
      </w:r>
    </w:p>
    <w:p>
      <w:r>
        <w:rPr>
          <w:b w:val="0"/>
        </w:rPr>
        <w:t>公告、复牌、起手一字不改变客观H，但须在主体筛选中特殊处理。荣丰H2、星帅尔H2、路畅H2、宝鼎H1、超声H2附公告/复牌或业绩催化标记；百洋今日一字仅为流动性标记，不把单日一字等同起手连续一字。</w:t>
      </w:r>
    </w:p>
    <w:p>
      <w:pPr>
        <w:pStyle w:val="Heading1"/>
        <w:pageBreakBefore/>
      </w:pPr>
      <w:r>
        <w:t>4 10月15日第一次可操作或验证对象</w:t>
      </w:r>
    </w:p>
    <w:p>
      <w:r>
        <w:rPr>
          <w:b w:val="0"/>
        </w:rPr>
        <w:t>无已核验合格对象。慈文、新经典、百洋的观察T为10月13日；14日T+1窗口已经结束，15日为T+2后续阶段，不能重新命名为T+1。它们的正式广义空接身份仍待C、主干与过滤证明。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976"/>
        <w:gridCol w:w="2160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潜在独立后续窗口</w:t>
            </w:r>
          </w:p>
        </w:tc>
        <w:tc>
          <w:tcPr>
            <w:tcW w:type="dxa" w:w="59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前提核验</w:t>
            </w:r>
          </w:p>
        </w:tc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T+2分支补救</w:t>
            </w:r>
          </w:p>
        </w:tc>
        <w:tc>
          <w:tcPr>
            <w:tcW w:type="dxa" w:w="59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百洋14日全天一字，客观难成交有证据；慈文09:30:03封板，反应机会须逐笔核；新经典3次开板、22.03%换手，不能把主观错过当客观无法上车。上游有效空接身份和个人主仓/余仓均未确认。</w:t>
            </w:r>
          </w:p>
        </w:tc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未获准；仅按分支观察。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新空间/控怪T+1</w:t>
            </w:r>
          </w:p>
        </w:tc>
        <w:tc>
          <w:tcPr>
            <w:tcW w:type="dxa" w:w="59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今天H4高标均为昨日H3延续；没有已验证首次新空间的普通接力对象。4→3下方仅差一层且3板醋化存在，不能强造断板结构。</w:t>
            </w:r>
          </w:p>
        </w:tc>
        <w:tc>
          <w:tcPr>
            <w:tcW w:type="dxa" w:w="21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无正式T日。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公告空接龙新窗</w:t>
            </w:r>
          </w:p>
        </w:tc>
        <w:tc>
          <w:tcPr>
            <w:tcW w:type="dxa" w:w="59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新华停牌；荣丰连续一字；路畅复牌特殊；宝鼎业绩一字首板；超声受业绩催化。未核得对应高位连续两个有效换手日及完整空间身份。</w:t>
            </w:r>
          </w:p>
        </w:tc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无资格恢复确认日。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T+2备选分支：只保留核验任务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104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对象／题材／严格H</w:t>
            </w:r>
          </w:p>
        </w:tc>
        <w:tc>
          <w:tcPr>
            <w:tcW w:type="dxa" w:w="38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10月14日事实</w:t>
            </w:r>
          </w:p>
        </w:tc>
        <w:tc>
          <w:tcPr>
            <w:tcW w:type="dxa" w:w="41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10月15日核验与排除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醋化603968／染料精化／3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收盘15.80元；首触/首封09:30:09、末封10:34:33；开板4次；换手18.76%；收盘封单0.35亿元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3进4；后排染料弱。非首次最高，T+2资格待核；风险提示已读，不得强贴控怪。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超声000823／PCB／2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收盘24.55元；首触/首封09:25:00、末封09:30:24；开板1次；换手5.08%；收盘封单2.63亿元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2进3；仅与宝鼎首板构成低梯队，澳弘炸板。业绩催化/一字开板需特殊过滤。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冰山000530／冰雪设备/液冷／2</w:t>
            </w:r>
          </w:p>
        </w:tc>
        <w:tc>
          <w:tcPr>
            <w:tcW w:type="dxa" w:w="38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收盘6.30元；首触/首封09:25:00、末封09:25:00；开板0次；换手3.02%；收盘封单3.67亿元</w:t>
            </w:r>
          </w:p>
        </w:tc>
        <w:tc>
          <w:tcPr>
            <w:tcW w:type="dxa" w:w="41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2进3；一字不可成交，旅游后排弱；跨概念不得凑梯队，最新异动公告已读。</w:t>
            </w:r>
          </w:p>
        </w:tc>
      </w:tr>
      <w:tr>
        <w:trPr>
          <w:cantSplit/>
        </w:trPr>
        <w:tc>
          <w:tcPr>
            <w:tcW w:type="dxa" w:w="23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航发600391／航空装备／2</w:t>
            </w:r>
          </w:p>
        </w:tc>
        <w:tc>
          <w:tcPr>
            <w:tcW w:type="dxa" w:w="381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收盘42.66元；首触/首封10:06:08、末封10:06:08；开板0次；换手5.79%；收盘封单1.56亿元</w:t>
            </w:r>
          </w:p>
        </w:tc>
        <w:tc>
          <w:tcPr>
            <w:tcW w:type="dxa" w:w="410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2进3；同分支首板跟风未核得，不能用全部军工替代航空装备带动。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上述四只是新独立T+2前提核验池，不等于合格首次候选；共同缺口为上游锚有效性、不同题材分支龙头证明、客观无法上车/已有主仓条件、P0权限。风险与情绪均否决本次主动新增。</w:t>
      </w:r>
    </w:p>
    <w:p>
      <w:pPr>
        <w:pStyle w:val="Heading1"/>
        <w:pageBreakBefore/>
      </w:pPr>
      <w:r>
        <w:t>5 今天超级先手结果与明天常规节点（分池）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7560"/>
      </w:tblGrid>
      <w:tr>
        <w:trPr>
          <w:cantSplit/>
          <w:tblHeader/>
        </w:trPr>
        <w:tc>
          <w:tcPr>
            <w:tcW w:type="dxa" w:w="26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池别</w:t>
            </w:r>
          </w:p>
        </w:tc>
        <w:tc>
          <w:tcPr>
            <w:tcW w:type="dxa" w:w="75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结果或预设条件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10月14日盘中超级先手</w:t>
            </w:r>
          </w:p>
        </w:tc>
        <w:tc>
          <w:tcPr>
            <w:tcW w:type="dxa" w:w="75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无已核验可执行对象。H4组为旧锚延续并列，不是今天新锚；上日C未知、风险限制均否决。新华文轩反包H1且14次开板，不能凭准地天结果倒推先手。</w:t>
            </w:r>
          </w:p>
        </w:tc>
      </w:tr>
      <w:tr>
        <w:trPr>
          <w:cantSplit/>
        </w:trPr>
        <w:tc>
          <w:tcPr>
            <w:tcW w:type="dxa" w:w="26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10月14日空接断板龙</w:t>
            </w:r>
          </w:p>
        </w:tc>
        <w:tc>
          <w:tcPr>
            <w:tcW w:type="dxa" w:w="75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未证实上方被动空间失效、下方逐级上位及至少两层断档的完整盘中结构；新华停牌不等同于上述条件。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10月15日常规新节点</w:t>
            </w:r>
          </w:p>
        </w:tc>
        <w:tc>
          <w:tcPr>
            <w:tcW w:type="dxa" w:w="75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无合格首次T+1对象；T+2仅前提核验，不重新安排旧4板的首次机会。</w:t>
            </w:r>
          </w:p>
        </w:tc>
      </w:tr>
      <w:tr>
        <w:trPr>
          <w:cantSplit/>
        </w:trPr>
        <w:tc>
          <w:tcPr>
            <w:tcW w:type="dxa" w:w="266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10月15日新超级先手</w:t>
            </w:r>
          </w:p>
        </w:tc>
        <w:tc>
          <w:tcPr>
            <w:tcW w:type="dxa" w:w="75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仅观察13:30—14:35，先补齐P0风险权限、C快照与上游结构；老空间基本失效、下方当时独一份最高、振幅合规、主动封板/回封且可成交，方可继续验证。当前关闭状态不新增。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10cm日内振幅≤9.99个百分点，20cm≤19.99个百分点；只允许打板/回封确认。并列未分离、老空间仍强、后排走弱、无逐笔证据均不成立。14:35以后停止新增；开盘快速核跌停的特殊前置情形须现场证明，不从收盘倒推。</w:t>
      </w:r>
    </w:p>
    <w:p>
      <w:pPr>
        <w:pStyle w:val="Heading1"/>
        <w:pageBreakBefore/>
      </w:pPr>
      <w:r>
        <w:t>6 T日“有望成为”预选池与逐票淘汰原因</w:t>
      </w:r>
    </w:p>
    <w:p>
      <w:r>
        <w:rPr>
          <w:b w:val="0"/>
        </w:rPr>
        <w:t>10月14日正式“有望成为广义空接龙”新锚池为空。今天没有补齐可作为明天首次窗口的独立T日；不得为了填表把旧锚T日推迟一天。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2880"/>
        <w:gridCol w:w="4248"/>
      </w:tblGrid>
      <w:tr>
        <w:trPr>
          <w:cantSplit/>
          <w:tblHeader/>
        </w:trPr>
        <w:tc>
          <w:tcPr>
            <w:tcW w:type="dxa" w:w="30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标的或组</w:t>
            </w:r>
          </w:p>
        </w:tc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首次新空间与C</w:t>
            </w:r>
          </w:p>
        </w:tc>
        <w:tc>
          <w:tcPr>
            <w:tcW w:type="dxa" w:w="42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身份预期／排除理由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慈文／新经典／百洋 H4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14日不是首次；T为13日结构观察；C未知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原“有望成为控怪/狭义空接”的部分结构强化，但模式未完成确认；T+1已过。允许证据完整后的叠加，不硬确认。</w:t>
            </w:r>
          </w:p>
        </w:tc>
      </w:tr>
      <w:tr>
        <w:trPr>
          <w:cantSplit/>
        </w:trPr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龙版／丽人 断板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13日首次最高观察；14日未晋级</w:t>
            </w:r>
          </w:p>
        </w:tc>
        <w:tc>
          <w:tcPr>
            <w:tcW w:type="dxa" w:w="42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原接力预期证伪；仅历史/持仓，尚不直接确认空转趋或首阴。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醋化 H3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未首次最高；C未知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保留不同分支T+2前提观察；上方H4与H3无两层断档，不成立断板龙。</w:t>
            </w:r>
          </w:p>
        </w:tc>
      </w:tr>
      <w:tr>
        <w:trPr>
          <w:cantSplit/>
        </w:trPr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超声／冰山／航发 H2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未首次最高；C未知</w:t>
            </w:r>
          </w:p>
        </w:tc>
        <w:tc>
          <w:tcPr>
            <w:tcW w:type="dxa" w:w="42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只作板块核心及潜在T+2分支；封板本身不创造空接身份。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荣丰／路畅／星帅尔 H2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控制权变更/复牌/收购特殊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常规空接特殊排除或待核；没有连续两个高位有效换手与完整身份，不进普通新锚池。</w:t>
            </w:r>
          </w:p>
        </w:tc>
      </w:tr>
      <w:tr>
        <w:trPr>
          <w:cantSplit/>
        </w:trPr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宝鼎 H1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业绩催化一字首板</w:t>
            </w:r>
          </w:p>
        </w:tc>
        <w:tc>
          <w:tcPr>
            <w:tcW w:type="dxa" w:w="42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公告、一字特殊；不因封单大而成为空间龙。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新华文轩／掌阅／安泰 H1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反包N+，不累计连续高度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仅识别反包/板块辨识度，不能以13天9板、7天4板、5天3板替代严格H。</w:t>
            </w:r>
          </w:p>
        </w:tc>
      </w:tr>
      <w:tr>
        <w:trPr>
          <w:cantSplit/>
        </w:trPr>
        <w:tc>
          <w:tcPr>
            <w:tcW w:type="dxa" w:w="30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新华传媒 停牌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停牌前H10历史特殊</w:t>
            </w:r>
          </w:p>
        </w:tc>
        <w:tc>
          <w:tcPr>
            <w:tcW w:type="dxa" w:w="42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不作为可成交候选；复牌日、换手恢复资格及新预期均待公告。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公告提示与公告驱动分开：新经典、百洋异动公告是风险输入，不自动改名“公告空接龙”。慈文、新经典、百洋10月9日首板均有实际成交，不能把随后一字加速误写为起手连续一字。</w:t>
      </w:r>
    </w:p>
    <w:p>
      <w:pPr>
        <w:pStyle w:val="Heading1"/>
        <w:pageBreakBefore/>
      </w:pPr>
      <w:r>
        <w:t>7 广义空接细分、断板龙、空接断板龙、压突及全部模式扫描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78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本次扫描结论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狭义自然空接</w:t>
            </w:r>
          </w:p>
        </w:tc>
        <w:tc>
          <w:tcPr>
            <w:tcW w:type="dxa" w:w="78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无新T日首次窗口；旧锚是否有主动空间和真实情绪带动尚未完整成立。广义资格未确认，不能只数最高板。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控怪龙/空拐</w:t>
            </w:r>
          </w:p>
        </w:tc>
        <w:tc>
          <w:tcPr>
            <w:tcW w:type="dxa" w:w="78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13日6→3结构线索，14日三票3→4可作为空间拓展反证；原高标≤6、缺4/5两层但有效主干/压缩序数/C待核，不写“已确认控怪”。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空中飘</w:t>
            </w:r>
          </w:p>
        </w:tc>
        <w:tc>
          <w:tcPr>
            <w:tcW w:type="dxa" w:w="78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没有可核验完整压缩序列足以强贴标签。身份预期、14日先手、15日接力分别处理；常规T+1默认舍弃规则保持。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公告空接龙</w:t>
            </w:r>
          </w:p>
        </w:tc>
        <w:tc>
          <w:tcPr>
            <w:tcW w:type="dxa" w:w="78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高位连续两个有效换手证据不足；新华停牌、荣丰等特殊票不通过常规恢复筛选，无新验证窗。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断板龙</w:t>
            </w:r>
          </w:p>
        </w:tc>
        <w:tc>
          <w:tcPr>
            <w:tcW w:type="dxa" w:w="78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没有核齐上方被动/擦板与下方实际空间、两层以上断档。正式T日未设，只记录结构不足。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空接断板龙</w:t>
            </w:r>
          </w:p>
        </w:tc>
        <w:tc>
          <w:tcPr>
            <w:tcW w:type="dxa" w:w="78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没有提前一天动态上位、至强唯一及风险/盘口链，不确认超级先手。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压突</w:t>
            </w:r>
          </w:p>
        </w:tc>
        <w:tc>
          <w:tcPr>
            <w:tcW w:type="dxa" w:w="78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S1/S2有效性与连续性未核，Y=UNKNOWN，逐票H与Y的屋顶下/摸顶/突破均待核；三只H4不代表突破3板Y。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T+2/T+3/T+4</w:t>
            </w:r>
          </w:p>
        </w:tc>
        <w:tc>
          <w:tcPr>
            <w:tcW w:type="dxa" w:w="78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15日旧锚相对13日为T+2；16日T+3、19日T+4只是日历，实际资格必须有前置成功，不能提前确认。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负阴抱阳龙</w:t>
            </w:r>
          </w:p>
        </w:tc>
        <w:tc>
          <w:tcPr>
            <w:tcW w:type="dxa" w:w="78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14日沪指收-0.88%，不满足P0指数收盘≥1.2%的必要条件，无新对象。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空转趋/龙头首阴</w:t>
            </w:r>
          </w:p>
        </w:tc>
        <w:tc>
          <w:tcPr>
            <w:tcW w:type="dxa" w:w="78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龙版、丽人断板仅跟踪；前置有效空接/龙头身份及未破趋势待核，不能靠首根阴线创造新买点。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弱转强/分离确认</w:t>
            </w:r>
          </w:p>
        </w:tc>
        <w:tc>
          <w:tcPr>
            <w:tcW w:type="dxa" w:w="78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只作已有主体的确认工具；明日须对照今日盘口和后排，单纯高开/涨停不确认；同组原则仅一名有效胜出者。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4K/6K</w:t>
            </w:r>
          </w:p>
        </w:tc>
        <w:tc>
          <w:tcPr>
            <w:tcW w:type="dxa" w:w="78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完整量价、时点、失效参数仍需回查原文/体系依据不足，不从K线数量或历史利润推导。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未获准的模式统一只观察。任何身份、反包、拓展、弱转强、封单改善都不能越过UNKNOWN/CLOSED风险闸门。E1没有参与上述执行参数计算。</w:t>
      </w:r>
    </w:p>
    <w:p>
      <w:pPr>
        <w:pStyle w:val="Heading1"/>
        <w:pageBreakBefore/>
      </w:pPr>
      <w:r>
        <w:t>8 板块梯队、主流分支与带队票验证</w:t>
      </w:r>
    </w:p>
    <w:p>
      <w:r>
        <w:rPr>
          <w:b w:val="0"/>
        </w:rPr>
        <w:t>统计采用10月14日收盘封住、盘中触板未封、明显跟涨未触板三个池；以下严格分支均为可核实最小集合，不冒称全市场完整名单。带动证据采用先后与联动快讯，不能仅凭同日上涨推定因果。[S2—S5,S8]</w:t>
      </w:r>
    </w:p>
    <w:p>
      <w:pPr>
        <w:pStyle w:val="Heading2"/>
      </w:pPr>
      <w:r>
        <w:t>A 核心观察对象板块验证表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024"/>
        <w:gridCol w:w="2448"/>
        <w:gridCol w:w="2880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对象/分支</w:t>
            </w:r>
          </w:p>
        </w:tc>
        <w:tc>
          <w:tcPr>
            <w:tcW w:type="dxa" w:w="30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跟风数量及名单</w:t>
            </w:r>
          </w:p>
        </w:tc>
        <w:tc>
          <w:tcPr>
            <w:tcW w:type="dxa" w:w="24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梯队与完整性</w:t>
            </w:r>
          </w:p>
        </w:tc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带动证据/结论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慈文002343</w:t>
              <w:br/>
              <w:t>严格短剧/AI漫剧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严格同组封住至少3：掌阅603533、引力603598、富春300299；电魂603258为游戏宽口径辅助1。元隆002878炸板1；海看301262、果麦301052仅跟涨（至少2，不算封住）。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严格首板3、2板0、3板0、H4慈文；不完整。宽传媒首板6、H4两只，仍缺2/3板。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慈文09:30封，09:43快讯已有富春等扩散；10:05—10:27次序支持早盘局部带动。午后元隆/海看回落，不认全天情绪延续。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新经典603096</w:t>
              <w:br/>
              <w:t>严格出版IP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封住2：中国科传601858、新华文轩601811；龙版605577断板，未触板，属负反馈。与短剧宽口径重叠不重复算。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首板2、2/3板0、H4新经典；不完整。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新经典09:43末封，中国科传11:01、文轩11:07首封，出版随后扩散；文轩14次开板、后排弱，尚不证明唯一主带队。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百洋002696</w:t>
              <w:br/>
              <w:t>严格鱼粉/水产加工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严格鱼粉封住0；宽水产开创600097封住1。东方海洋002086、粤海001313、獐子岛002069仅跟涨至少3；天马603668跌停。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严格H4独苗，无首/2/3；宽首板1，仍缺2/3。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百洋竞价一字，开创09:31触/09:38末封；09:34快讯显示扩散，天马持续跌停是明显反证。不能将广义消费凑齐。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醋化603968</w:t>
              <w:br/>
              <w:t>染料/精化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严格封住0；亚邦603188炸板1；建新300107、吉华603980、世龙002748仅跟涨/失败，未封。富春染织605189偏纺织宽口径，单列1。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严格只有H3醋化，无首板/2板；宽首板1但缺2，不完整。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自身4次开板末封10:34；同分支后排未晋级，不证明有持续带动。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超声000823</w:t>
              <w:br/>
              <w:t>PCB/覆铜板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宽PCB封住1：宝鼎002552，公告一字；澳弘605058炸板1。协和605258、中京002579、金百泽301041等未封，完整失败名单待核。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首板宝鼎1、H2超声1、H3以上0；不完整。严格PCB与覆铜板跨环节须分开。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超声09:30回封，宝鼎09:25公告一字在先，不能说超声带动宝鼎。澳弘炸板、旧首板多数失败，个股强势/延续不足。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冰山000530</w:t>
              <w:br/>
              <w:t>冰雪设备/液冷</w:t>
            </w:r>
          </w:p>
        </w:tc>
        <w:tc>
          <w:tcPr>
            <w:tcW w:type="dxa" w:w="302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严格设备封住0；雪人002639、晶雪301010等未涨停。宽冰雪交通龙江601188封住1；大连600593炸板1。哈空调600202列空冷辅助，不混入严格液冷。</w:t>
            </w:r>
          </w:p>
        </w:tc>
        <w:tc>
          <w:tcPr>
            <w:tcW w:type="dxa" w:w="24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严格H2独苗；宽H2两只、首板/3板缺失，不完整。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冰山一字，冷链/旅游后排分化；不把其它空冷股或交通票的封板倒推为冰山独立带队。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航发600391</w:t>
              <w:br/>
              <w:t>航空装备</w:t>
            </w:r>
          </w:p>
        </w:tc>
        <w:tc>
          <w:tcPr>
            <w:tcW w:type="dxa" w:w="30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本次未核得同严格分支封住跟风；宽军工不凑数量。星网002829跌停属宽口径反证。</w:t>
            </w:r>
          </w:p>
        </w:tc>
        <w:tc>
          <w:tcPr>
            <w:tcW w:type="dxa" w:w="24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严格H2一只，首/3板缺，不完整/全量待核。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10:06封板后未核得航空装备跟风的先后扩散，不确认带队。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B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240"/>
        <w:gridCol w:w="2952"/>
        <w:gridCol w:w="2376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分支/高度票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最早有效封板/封单最稳/辨识度</w:t>
            </w:r>
          </w:p>
        </w:tc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主带队与跟风/梯队</w:t>
            </w:r>
          </w:p>
        </w:tc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次日验证状态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短剧/AI漫剧</w:t>
              <w:br/>
              <w:t>慈文H4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慈文09:30:03至收盘无开板；收盘封单2.23亿，组内大。早盘扩散有证据，但逐笔撤单稳定性仍待核；辨识度慈文。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主带队预选慈文；严格封住跟风至少3，宽游戏另1；缺2/3板。尚未正式确认唯一主带队。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15日待验证：慈文5板与掌阅/引力/富春同步；只领头涨而后排退潮，则板块延续不足。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出版/IP</w:t>
              <w:br/>
              <w:t>新经典H4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新经典09:43:14最终封板；收盘封单0.51亿、3次开板。最稳需逐笔；辨识度新经典/文轩分离，文轩14次开板。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主带队待确认；严格封住跟风2；缺2/3板。不能用文轩13天9板当高度票。</w:t>
            </w:r>
          </w:p>
        </w:tc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15日待验证，关注新经典承接、文轩是否再剧震与科传同步。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鱼粉/水产</w:t>
              <w:br/>
              <w:t>百洋H4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百洋竞价一字、封单1.66亿；严格鱼粉独苗。宽水产开创09:38末封；日内封单最稳无完整动态证据。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百洋高度辨识度较高，未确认主带队；宽跟风1，严格0；天马跌停，缺2/3。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15日待验证：一字是否开板，水产后排能否承接，禁止强排不可成交板。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PCB/覆铜板</w:t>
              <w:br/>
              <w:t>超声H2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最早宝鼎09:25公告一字；超声09:30:24末封。封单宝鼎2.74亿、超声2.63亿，不等同最稳定；辨识度超声/澳弘。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本分支无已确认带队票。超声前排、宝鼎辅助；澳弘炸板。宽跟风1，梯队不完整。</w:t>
            </w:r>
          </w:p>
        </w:tc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15日待验证：超声3板、宝鼎开板及后排新首板，先防个股抱团。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冰雪设备/液冷</w:t>
              <w:br/>
              <w:t>冰山H2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冰山09:25一字；封单3.67亿。跨板块最稳比较不可代替；辨识度冰山/雪人分化。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主带队待确认；严格跟风0、宽龙江1；缺首/3板，旅游后排弱。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15日待验证：设备扩散及大连/晶雪/雪人承接。</w:t>
            </w:r>
          </w:p>
        </w:tc>
      </w:tr>
      <w:tr>
        <w:trPr>
          <w:cantSplit/>
        </w:trPr>
        <w:tc>
          <w:tcPr>
            <w:tcW w:type="dxa" w:w="165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染料/精化</w:t>
              <w:br/>
              <w:t>醋化H3</w:t>
            </w:r>
          </w:p>
        </w:tc>
        <w:tc>
          <w:tcPr>
            <w:tcW w:type="dxa" w:w="324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醋化10:34:33末封；4次开板，封单0.35亿，稳定性未确认；辨识度醋化。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本分支无已确认带队票；严格跟风0、宽纺织1；后排失败，梯队不完整。</w:t>
            </w:r>
          </w:p>
        </w:tc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15日待验证：是否有同细分新首板，亚邦是否继续负反馈。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煤炭/焦炭</w:t>
              <w:br/>
              <w:t>郑煤/安泰H1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郑煤13:22:10末封；安泰14:22:19末封，分别4/9次开板，收盘封单0.44/0.47亿；最稳待核。安泰5天3板不累计。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无已确认主带队；宽煤炭/焦炭封住2，能源另美能/韶能2。首板为主，无2/3板。</w:t>
            </w:r>
          </w:p>
        </w:tc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15日待验证：板块延续与先封稳定性，不能从逆势红盘直接确认新周期。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能源分支需分开：郑州煤电600121煤炭开采、安泰集团600408焦炭、美能能源001299燃气、韶能股份000601电力。后两者仅为宽能源独立首板，不计为煤炭严格跟风。</w:t>
      </w:r>
    </w:p>
    <w:p>
      <w:r>
        <w:rPr>
          <w:b w:val="0"/>
        </w:rPr>
        <w:t>封单金额为收盘快照，首封/末封与开板次数为行情源统计；撤单、稳定回封量及封板前后资金因果尚待实时逐笔。三项指标指向不同股票时，不硬选主带队。</w:t>
      </w:r>
    </w:p>
    <w:p>
      <w:pPr>
        <w:pStyle w:val="Heading1"/>
        <w:pageBreakBefore/>
      </w:pPr>
      <w:r>
        <w:t>9 核心观察对象竞价/盘中执行卡</w:t>
      </w:r>
    </w:p>
    <w:p>
      <w:r>
        <w:rPr>
          <w:b w:val="0"/>
        </w:rPr>
        <w:t>以下是观察/持仓卡，不是新开仓卡。共同字段：Hmax=4；X/C/Y=UNKNOWN；正式主体身份与C资格待核；10月15日无获准新开仓，主动新增0。下列价格用于对照当日预期，不创造P0未编码的统一止损比例。</w:t>
      </w:r>
    </w:p>
    <w:p>
      <w:pPr>
        <w:pStyle w:val="Heading2"/>
      </w:pPr>
      <w:r>
        <w:t>慈文传媒002343 ｜ 短剧/AI漫剧 ｜ 严格H=4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3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慈文传媒002343 观察/管理条件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变量/身份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H=4；Hmax=4；X/C/Y=UNKNOWN；通过C=待核。今天非首次新空间；狭义空接+控怪叠加可继续补证。今日非一字，首板非一字；无新停牌核得，被动空间未定。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时间/窗口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10月13日结构观察T；14日T+1；15日T+2，首次窗已过；当日超级先手无已核验资格，明日常规新开仓无。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事实基准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收盘8.10元；首触/首封09:30:03、末封09:30:03；开板0次；换手11.94%；收盘封单2.23亿元。[S2]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触发/证伪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较今日09:30快封基准，只有快速主动封板、均价承接及掌阅/引力/富春后排同步才强化观察；冲高回落、无量封板或同组反卡证伪。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无持仓/已有持仓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无持仓：信号出现也仅记录，风险关闭时不新增；未出现撤销观察。已有持仓：仅在承接稳定且原退出未触发时管理；低预期、破原失效位或无法回封按预设退出，不摊平加仓。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绝对禁止/缺口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UNKNOWN/CLOSED、无主体、不可成交、后排退潮或公告风险升级禁止新开。数据缺口：主体C/有效锚、明日公告及逐笔、真实后排带动。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新经典603096 ｜ 出版/IP ｜ 严格H=4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3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新经典603096 观察/管理条件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变量/身份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H=4；Hmax=4；X/C/Y=UNKNOWN；通过C=待核。非首次新空间，允许补证自然空接/控怪属性但不确认；今天3次开板有效换手，非起手连续一字。最新风险公告已读。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时间/窗口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10月13日结构观察T；14日T+1；15日T+2，首次窗已过；当日超级先手无已核验资格，明日常规新开仓无。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事实基准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收盘23.07元；首触/首封09:30:44、末封09:43:14；开板3次；换手22.03%；收盘封单0.51亿元。[S2]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触发/证伪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较今日3次开板、22.03%换手、09:43末封，应观察回封效率是否改善、出版后排同步。高开后反复跌破均价、不能回封或龙版/文轩负反馈扩散则减弱。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无持仓/已有持仓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无持仓：信号出现也仅记录，风险关闭时不新增；未出现撤销观察。已有持仓：仅在承接稳定且原退出未触发时管理；低预期、破原失效位或无法回封按预设退出，不摊平加仓。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绝对禁止/缺口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UNKNOWN/CLOSED、无主体、不可成交、后排退潮或公告风险升级禁止新开。数据缺口：有效主体/C、动态封单与量能、正式空间代表性。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百洋股份002696 ｜ 鱼粉/水产 ｜ 严格H=4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3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百洋股份002696 观察/管理条件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变量/身份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H=4；Hmax=4；X/C/Y=UNKNOWN；通过C=待核。非首次新空间；今日一字不可成交风险，10月9日首板有换手，不误排为起手连续一字。最新公告提示鱼粉业务影响有限。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时间/窗口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10月13日结构观察T；14日T+1；15日T+2，首次窗已过；当日超级先手无已核验资格，明日常规新开仓无。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事实基准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收盘9.75元；首触/首封09:25:00、末封09:25:00；开板0次；换手1.00%；收盘封单1.66亿元。[S2]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触发/证伪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15日开板须有持续承接、回封稳定且开创同步，不能用一次换手即恢复资格。天马仍连续跌停或开创回落为反证；不以强封单主观追入。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无持仓/已有持仓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无持仓：信号出现也仅记录，风险关闭时不新增；未出现撤销观察。已有持仓：仅在承接稳定且原退出未触发时管理；低预期、破原失效位或无法回封按预设退出，不摊平加仓。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绝对禁止/缺口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UNKNOWN/CLOSED、无主体、不可成交、后排退潮或公告风险升级禁止新开。数据缺口：上游空接有效性、T+2客观前提/账户主仓、鱼粉严格联动。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醋化股份603968 ｜ 染料/精化 ｜ 严格H=3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3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醋化股份603968 观察/管理条件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变量/身份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H=3；Hmax=4；X/C/Y=UNKNOWN；通过C=待核。非首次新空间，不成立断板龙；C未知。普通异动/风险公告不等同公告驱动身份。允许压突视角但Y未知。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时间/窗口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上游观察T10月13日；15日潜在T+2，独立补救T未确认；当日超级先手无已核验资格，明日常规新开仓无。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事实基准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收盘15.80元；首触/首封09:30:09、末封10:34:33；开板4次；换手18.76%；收盘封单0.35亿元。[S2]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触发/证伪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较今日4次开板基准，观察回封更稳、染料新首板与亚邦承接；若独涨而后排全弱，不确认分支龙头或补救。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无持仓/已有持仓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无持仓：信号出现也仅记录，风险关闭时不新增；未出现撤销观察。已有持仓：仅在承接稳定且原退出未触发时管理；低预期、破原失效位或无法回封按预设退出，不摊平加仓。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绝对禁止/缺口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UNKNOWN/CLOSED、无主体、不可成交、后排退潮或公告风险升级禁止新开。数据缺口：上游T+2前提、不同题材带动、Y/盘口参数。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超声电子000823 ｜ PCB/覆铜板 ｜ 严格H=2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3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超声电子000823 观察/管理条件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变量/身份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H=2；Hmax=4；X/C/Y=UNKNOWN；通过C=待核。非首次新空间；业绩催化特殊标记、今天T字，公告空接高位换手资格未核；不得作为普通空接。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时间/窗口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上游观察T10月13日；15日潜在T+2，独立补救T未确认；当日超级先手无已核验资格，明日常规新开仓无。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事实基准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收盘24.55元；首触/首封09:25:00、末封09:30:24；开板1次；换手5.08%；收盘封单2.63亿元。[S2]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触发/证伪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较今日09:30回封基准，观察3板是否有可成交换手、宝鼎与PCB首板扩散。澳弘回落、宝鼎开板失稳或封单撤退证伪板块延续。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无持仓/已有持仓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无持仓：信号出现也仅记录，风险关闭时不新增；未出现撤销观察。已有持仓：仅在承接稳定且原退出未触发时管理；低预期、破原失效位或无法回封按预设退出，不摊平加仓。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绝对禁止/缺口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UNKNOWN/CLOSED、无主体、不可成交、后排退潮或公告风险升级禁止新开。数据缺口：公告过滤、两个高位有效换手、补救资格及后排因果。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冰山冷热000530 ｜ 冰雪设备/液冷 ｜ 严格H=2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3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冰山冷热000530 观察/管理条件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变量/身份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H=2；Hmax=4；X/C/Y=UNKNOWN；通过C=待核。非首次新空间；今日一字、非新断板龙，C未知。异动公告已读，无已核验新增停牌。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时间/窗口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上游观察T10月13日；15日潜在T+2，独立补救T未确认；当日超级先手无已核验资格，明日常规新开仓无。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事实基准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收盘6.30元；首触/首封09:25:00、末封09:25:00；开板0次；换手3.02%；收盘封单3.67亿元。[S2]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触发/证伪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看开板承接、雪人/晶雪设备同步；龙江属宽冰雪交通，不能替代设备带动。大连继续炸板、后排不能扩散或无成交机会则仅观察。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无持仓/已有持仓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无持仓：信号出现也仅记录，风险关闭时不新增；未出现撤销观察。已有持仓：仅在承接稳定且原退出未触发时管理；低预期、破原失效位或无法回封按预设退出，不摊平加仓。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绝对禁止/缺口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UNKNOWN/CLOSED、无主体、不可成交、后排退潮或公告风险升级禁止新开。数据缺口：补救前提、严格题材层级、动态封单及成交性。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航发科技600391 ｜ 航空装备 ｜ 严格H=2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3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航发科技600391 观察/管理条件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变量/身份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H=2；Hmax=4；X/C/Y=UNKNOWN；通过C=待核。非首次新空间，航空装备分支龙头带动待核；C未知，不以军工宽题材数量补足资格。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时间/窗口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上游观察T10月13日；15日潜在T+2，独立补救T未确认；当日超级先手无已核验资格，明日常规新开仓无。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事实基准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收盘42.66元；首触/首封10:06:08、末封10:06:08；开板0次；换手5.79%；收盘封单1.56亿元。[S2]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触发/证伪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较今日10:06封板基准，观察同严格分支新首板及有效封板先后。只有本票单独晋级而无后排，仍记板块延续不足。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无持仓/已有持仓</w:t>
            </w:r>
          </w:p>
        </w:tc>
        <w:tc>
          <w:tcPr>
            <w:tcW w:type="dxa" w:w="83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无持仓：信号出现也仅记录，风险关闭时不新增；未出现撤销观察。已有持仓：仅在承接稳定且原退出未触发时管理；低预期、破原失效位或无法回封按预设退出，不摊平加仓。</w:t>
            </w:r>
          </w:p>
        </w:tc>
      </w:tr>
      <w:tr>
        <w:trPr>
          <w:cantSplit/>
        </w:trPr>
        <w:tc>
          <w:tcPr>
            <w:tcW w:type="dxa" w:w="187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绝对禁止/缺口</w:t>
            </w:r>
          </w:p>
        </w:tc>
        <w:tc>
          <w:tcPr>
            <w:tcW w:type="dxa" w:w="83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UNKNOWN/CLOSED、无主体、不可成交、后排退潮或公告风险升级禁止新开。数据缺口：上游T+2身份、分支扩散、逐笔与竞价预期。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10月15日时间分段执行表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96"/>
        <w:gridCol w:w="3528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8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信号出现怎么做</w:t>
            </w:r>
          </w:p>
        </w:tc>
        <w:tc>
          <w:tcPr>
            <w:tcW w:type="dxa" w:w="35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不出现怎么做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09:15—09:25</w:t>
            </w:r>
          </w:p>
        </w:tc>
        <w:tc>
          <w:tcPr>
            <w:tcW w:type="dxa" w:w="48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核公告/停复牌、竞价量与封单变化、三只H4及带队后排。无持仓只观察；有持仓低预期列退出。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不按单次封单大小下结论；无逐笔/公告核验时维持关闭。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09:30—09:45</w:t>
            </w:r>
          </w:p>
        </w:tc>
        <w:tc>
          <w:tcPr>
            <w:tcW w:type="dxa" w:w="48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旧H4观察分离和承接；T+2分支须先查上游及客观补救条件。若有效封板且后排同步只强化记录；有持仓看原退出。</w:t>
            </w:r>
          </w:p>
        </w:tc>
        <w:tc>
          <w:tcPr>
            <w:tcW w:type="dxa" w:w="35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无同组分离、反复跌均价、后排走弱则撤销主动观察，有持仓按失败剧本。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09:45—13:30</w:t>
            </w:r>
          </w:p>
        </w:tc>
        <w:tc>
          <w:tcPr>
            <w:tcW w:type="dxa" w:w="48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核带队后排、A杀抵抗、跌停扩散；有持仓只管理，禁止用一波反抽解除闸门。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不能稳定回封或题材不扩散，保留风险退出和空仓观察。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13:30—14:35</w:t>
            </w:r>
          </w:p>
        </w:tc>
        <w:tc>
          <w:tcPr>
            <w:tcW w:type="dxa" w:w="489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新先手仅在风险/C先核齐、旧空间失效、唯一最高、振幅合规且主动封/回封可成交时验证；本次关闭时仅记录。</w:t>
            </w:r>
          </w:p>
        </w:tc>
        <w:tc>
          <w:tcPr>
            <w:tcW w:type="dxa" w:w="352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并列未分离、老空间仍强、撤单/剧震即不成立，不低吸或半路。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14:35以后</w:t>
            </w:r>
          </w:p>
        </w:tc>
        <w:tc>
          <w:tcPr>
            <w:tcW w:type="dxa" w:w="48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不新增；有持仓处理失效/尾盘风险，核收盘空间及压突事件，生成后续账本。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未出现先手或常规确认就不补单，不将尾盘结果倒推早盘买点。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10 三套剧本：超预期、符合预期、低预期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2952"/>
        <w:gridCol w:w="2880"/>
      </w:tblGrid>
      <w:tr>
        <w:trPr>
          <w:cantSplit/>
          <w:tblHeader/>
        </w:trPr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剧本与客观条件</w:t>
            </w:r>
          </w:p>
        </w:tc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无持仓动作</w:t>
            </w:r>
          </w:p>
        </w:tc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超预期：跌停收缩、A杀成批企稳，指数承接改善；传媒H4胜出者与后排同步，分支梯队补齐。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观察并核齐风险历史链/主体/C/Y。即使信号超预期，UNKNOWN未解除仍不新增；T+1不会重开。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原退出未触发且承接稳定时继续管理；不能因修复补造加仓权限。</w:t>
            </w:r>
          </w:p>
        </w:tc>
      </w:tr>
      <w:tr>
        <w:trPr>
          <w:cantSplit/>
        </w:trPr>
        <w:tc>
          <w:tcPr>
            <w:tcW w:type="dxa" w:w="43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符合预期：传媒/百洋局部继续强，PCB/冰雪只有前排；指数弱，跌停未明显改善。</w:t>
            </w:r>
          </w:p>
        </w:tc>
        <w:tc>
          <w:tcPr>
            <w:tcW w:type="dxa" w:w="295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维持空仓观察，T+2前提不完整者删除；不追涨后排。</w:t>
            </w:r>
          </w:p>
        </w:tc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强票看承接和原退出；弱票反抽仍不能恢复身份，按原计划收缩风险。</w:t>
            </w:r>
          </w:p>
        </w:tc>
      </w:tr>
      <w:tr>
        <w:trPr>
          <w:cantSplit/>
        </w:trPr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低预期：4板开盘闷杀或高开低走，后排炸板增多；持续A杀无抵抗、非ST跌停再扩散。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取消所有主动新开与先手预案；不抄“冰点”。</w:t>
            </w:r>
          </w:p>
        </w:tc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按预设失效及可成交性优先风险退出；跌停不能成交时保留订单/流动性管理，不宣称必能卖出。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三套剧本均服从P0。阶段名称、高潮、冰点、反抽都不是买卖指令；不保证收益，不使用E1历史仓位。</w:t>
      </w:r>
    </w:p>
    <w:p>
      <w:pPr>
        <w:pStyle w:val="Heading1"/>
        <w:pageBreakBefore/>
      </w:pPr>
      <w:r>
        <w:t>11 历史账本与后续阶段、带队票次日表现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960"/>
        <w:gridCol w:w="3384"/>
      </w:tblGrid>
      <w:tr>
        <w:trPr>
          <w:cantSplit/>
          <w:tblHeader/>
        </w:trPr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对象/模式与T日</w:t>
            </w:r>
          </w:p>
        </w:tc>
        <w:tc>
          <w:tcPr>
            <w:tcW w:type="dxa" w:w="39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10月14日真实结果</w:t>
            </w:r>
          </w:p>
        </w:tc>
        <w:tc>
          <w:tcPr>
            <w:tcW w:type="dxa" w:w="33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10月15日及后续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慈文/新经典/百洋</w:t>
              <w:br/>
              <w:t>10月13日结构观察T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T+1均3进4成功，预期部分强化；C与正式主体待核。百洋竞价一字；慈文09:30封、新经典09:43末封，后两者有实际成交。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15日T+2仅独立前提；16日T+3、19日T+4不能按连板数直接确认。禁止占据新开仓首次表。</w:t>
            </w:r>
          </w:p>
        </w:tc>
      </w:tr>
      <w:tr>
        <w:trPr>
          <w:cantSplit/>
        </w:trPr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丽人605136</w:t>
              <w:br/>
              <w:t>10月13日结构观察T</w:t>
            </w:r>
          </w:p>
        </w:tc>
        <w:tc>
          <w:tcPr>
            <w:tcW w:type="dxa" w:w="39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14日竞价涨停12.56、收10.40，-8.93%；高开低走/冲板未封，预期证伪。</w:t>
            </w:r>
          </w:p>
        </w:tc>
        <w:tc>
          <w:tcPr>
            <w:tcW w:type="dxa" w:w="33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只有持仓管理/历史；是否首阴/空转趋仍要先核龙头/上游与趋势，不能主观低吸。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龙版605577</w:t>
              <w:br/>
              <w:t>10月13日结构观察T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14日开17.64、收18.95，-3.32%，最高21.27未到21.56涨停；严格连续段断。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低开后反抽仍未晋级；后续仅跟踪，不能因尾盘收回部分跌幅保留T+1窗口。</w:t>
            </w:r>
          </w:p>
        </w:tc>
      </w:tr>
      <w:tr>
        <w:trPr>
          <w:cantSplit/>
        </w:trPr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超声000823</w:t>
              <w:br/>
              <w:t>13日PCB带队预选</w:t>
            </w:r>
          </w:p>
        </w:tc>
        <w:tc>
          <w:tcPr>
            <w:tcW w:type="dxa" w:w="39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14日竞价/早盘T字回封，收24.55、H2；宝鼎一字，但澳弘炸板、PCB多只旧首板失败。</w:t>
            </w:r>
          </w:p>
        </w:tc>
        <w:tc>
          <w:tcPr>
            <w:tcW w:type="dxa" w:w="33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单票继续涨停→个股延续；后排不同步→板块延续不足。主带队仍待确认，15日看3板与后排。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冰山000530</w:t>
              <w:br/>
              <w:t>13日冰雪分支观察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14日竞价一字、收6.30、H2；大连炸板，晶雪未涨停、雪人/长白山未晋级。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前排有效但后排分化；不认完整情绪延续，15日看设备而非宽交通凑数。</w:t>
            </w:r>
          </w:p>
        </w:tc>
      </w:tr>
      <w:tr>
        <w:trPr>
          <w:cantSplit/>
        </w:trPr>
        <w:tc>
          <w:tcPr>
            <w:tcW w:type="dxa" w:w="288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13日其他分支预选</w:t>
            </w:r>
          </w:p>
        </w:tc>
        <w:tc>
          <w:tcPr>
            <w:tcW w:type="dxa" w:w="3960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亚邦14日炸板-5.68%；金奥博继续H2；三和-2.02%、世龙-5.27%、金百泽-2.82%等未晋级，不能一票强代替全组。</w:t>
            </w:r>
          </w:p>
        </w:tc>
        <w:tc>
          <w:tcPr>
            <w:tcW w:type="dxa" w:w="3384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只保留当前事实，不将未确认带队预选硬写成此前正式带队票。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新华传媒公告/停牌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14日仍无成交，停牌前H10；未核得复牌公告。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不得顺延为15日买点；复牌后重新建立预期与资格。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带队次日映射：继续涨停且后排同步支持带队有效、情绪延续；高开低走为带队失败；低开闷杀为带队证伪。尚未发生的10月15日只写“待下一交易日验证”。10月13日没有正式确认的唯一主带队，因此本次记录预选验证，不虚构前一日确认。</w:t>
      </w:r>
    </w:p>
    <w:p>
      <w:r>
        <w:rPr>
          <w:b w:val="0"/>
        </w:rPr>
        <w:t>空转趋只决定断板后跟踪对象，不产生买点。10/15后的T+3/T+4、首阴、4K/6K仍须有效上游、趋势及原文完整条件，未达即不执行。</w:t>
      </w:r>
    </w:p>
    <w:p>
      <w:pPr>
        <w:pStyle w:val="Heading1"/>
        <w:pageBreakBefore/>
      </w:pPr>
      <w:r>
        <w:t>12 受控未知项、数据来源与风险提示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未知项</w:t>
            </w:r>
          </w:p>
        </w:tc>
        <w:tc>
          <w:tcPr>
            <w:tcW w:type="dxa" w:w="78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8"/>
              </w:rPr>
              <w:t>影响与处理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风险历史与预警针</w:t>
            </w:r>
          </w:p>
        </w:tc>
        <w:tc>
          <w:tcPr>
            <w:tcW w:type="dxa" w:w="78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强控完整触发/解除链、昨日非ST连板指数连续两天值尚不足。按UNKNOWN/CLOSED；11/13差异未擅自抹平。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空间与压突</w:t>
            </w:r>
          </w:p>
        </w:tc>
        <w:tc>
          <w:tcPr>
            <w:tcW w:type="dxa" w:w="78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有效X、C快照和重置、最近两个有效A/B及连续性未证实；Y未知，不猜3或4，不以Hmax替代。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主体与补救</w:t>
            </w:r>
          </w:p>
        </w:tc>
        <w:tc>
          <w:tcPr>
            <w:tcW w:type="dxa" w:w="78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旧锚正式空接、公告恢复资格、被动/断板结构、不同题材分支龙头及账户主仓余仓未齐。普通T+1已过，不用T+2补救主观错过。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盘口及板块</w:t>
            </w:r>
          </w:p>
        </w:tc>
        <w:tc>
          <w:tcPr>
            <w:tcW w:type="dxa" w:w="78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逐笔撤单、实时均价、回封量与封单稳定性、全量细分归属、带队因果需盘中确认；收盘快照仅作次日基准。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材料边界</w:t>
            </w:r>
          </w:p>
        </w:tc>
        <w:tc>
          <w:tcPr>
            <w:tcW w:type="dxa" w:w="78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 2026-09-09版；P1版本0、P2版本1已回查；E1已读，缺12/13节正文和部分图；E2边界依现有要求。母规则未编码AVOID仓位映射；新增0来自P0关闭，E1不编码比例。4K/6K需回查原文。</w:t>
            </w:r>
          </w:p>
        </w:tc>
      </w:tr>
      <w:tr>
        <w:trPr>
          <w:cantSplit/>
        </w:trPr>
        <w:tc>
          <w:tcPr>
            <w:tcW w:type="dxa" w:w="2376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隔夜变化</w:t>
            </w:r>
          </w:p>
        </w:tc>
        <w:tc>
          <w:tcPr>
            <w:tcW w:type="dxa" w:w="7848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本报告公告核验覆盖截至制作时已可读取的披露；10月15日公告日期可能在14日晚已发布，已记录实际入库时点。盘前仍检查更新公告/停复牌。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pStyle w:val="Heading2"/>
      </w:pPr>
      <w:r>
        <w:t>统计差异与来源口径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79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b/>
                <w:color w:val="FFFFFF"/>
                <w:sz w:val="17"/>
              </w:rPr>
              <w:t>使用与差异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S2 东方财富股池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14日查询qdate=20261014，36涨停/15连板/11跌停；ZB统计24但名单为空，不虚构其24只名单。历史9/12/13日qdate仍返回最新，历史行另交叉核验，不仅凭qdate。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S3 财联社/澎湃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非ST36涨停、24封板未遂、60%；旧连板晋级4/10=40%。指数与沪深成交使用澎湃/Wind并与其它收盘统计核对。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S4 打板客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36封住/66触板=54.5%；全市场39涨停、13跌停、979涨4496跌。ST/新股/触板范围与S2/S3不同，保留差异。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S5 腾讯收盘</w:t>
            </w:r>
          </w:p>
        </w:tc>
        <w:tc>
          <w:tcPr>
            <w:tcW w:type="dxa" w:w="7992"/>
            <w:shd w:fill="F4F6F7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13只非ST跌停，较S2多信宇人和道生天合；直接报价确认收盘分别13.99/13.45，均等于报价跌停价。失败票开收高低亦按腾讯当日时间戳核验。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S6—S8 公告与联动</w:t>
            </w:r>
          </w:p>
        </w:tc>
        <w:tc>
          <w:tcPr>
            <w:tcW w:type="dxa" w:w="79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47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上市公司公告原文优先；新经典17:36、百洋16:52、超声16:26、冰山17:19、醋化15:33已入库。异动公告不自动等同公告驱动身份。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</w:rPr>
        <w:t>市场数据与公告抓取区间：北京时间2026-10-14 17:33至17:54；analysis_date为文档实际制作时间。主数据来自14日完整收盘，不用13日或旧报告行情替代。下列链接可点击。</w:t>
      </w:r>
    </w:p>
    <w:p>
      <w:pPr>
        <w:spacing w:after="60"/>
      </w:pPr>
      <w:hyperlink r:id="rId11">
        <w:r>
          <w:rPr>
            <w:color w:val="174A6C"/>
            <w:sz w:val="18"/>
          </w:rPr>
          <w:t>S1 上交所2026年正式休市安排</w:t>
        </w:r>
      </w:hyperlink>
      <w:r>
        <w:t xml:space="preserve">    ｜    </w:t>
      </w:r>
      <w:hyperlink r:id="rId12">
        <w:r>
          <w:rPr>
            <w:color w:val="174A6C"/>
            <w:sz w:val="18"/>
          </w:rPr>
          <w:t>S2 东方财富涨停板行情</w:t>
        </w:r>
      </w:hyperlink>
    </w:p>
    <w:p>
      <w:pPr>
        <w:spacing w:after="60"/>
      </w:pPr>
      <w:hyperlink r:id="rId13">
        <w:r>
          <w:rPr>
            <w:color w:val="174A6C"/>
            <w:sz w:val="18"/>
          </w:rPr>
          <w:t>S3 财联社10月14日涨停统计</w:t>
        </w:r>
      </w:hyperlink>
      <w:r>
        <w:t xml:space="preserve">    ｜    </w:t>
      </w:r>
      <w:hyperlink r:id="rId14">
        <w:r>
          <w:rPr>
            <w:color w:val="174A6C"/>
            <w:sz w:val="18"/>
          </w:rPr>
          <w:t>S3 财联社10月14日连板晋级分析</w:t>
        </w:r>
      </w:hyperlink>
    </w:p>
    <w:p>
      <w:pPr>
        <w:spacing w:after="60"/>
      </w:pPr>
      <w:hyperlink r:id="rId15">
        <w:r>
          <w:rPr>
            <w:color w:val="174A6C"/>
            <w:sz w:val="18"/>
          </w:rPr>
          <w:t>S3 澎湃10月14日收盘指数与成交</w:t>
        </w:r>
      </w:hyperlink>
      <w:r>
        <w:t xml:space="preserve">    ｜    </w:t>
      </w:r>
      <w:hyperlink r:id="rId16">
        <w:r>
          <w:rPr>
            <w:color w:val="174A6C"/>
            <w:sz w:val="18"/>
          </w:rPr>
          <w:t>S4 打板客10月14日收盘复盘快照</w:t>
        </w:r>
      </w:hyperlink>
    </w:p>
    <w:p>
      <w:pPr>
        <w:spacing w:after="60"/>
      </w:pPr>
      <w:hyperlink r:id="rId17">
        <w:r>
          <w:rPr>
            <w:color w:val="174A6C"/>
            <w:sz w:val="18"/>
          </w:rPr>
          <w:t>S5 腾讯行情整理10月14日跌停</w:t>
        </w:r>
      </w:hyperlink>
      <w:r>
        <w:t xml:space="preserve">    ｜    </w:t>
      </w:r>
      <w:hyperlink r:id="rId18">
        <w:r>
          <w:rPr>
            <w:color w:val="174A6C"/>
            <w:sz w:val="18"/>
          </w:rPr>
          <w:t>S5 腾讯行情整理10月13日跌停</w:t>
        </w:r>
      </w:hyperlink>
    </w:p>
    <w:p>
      <w:pPr>
        <w:spacing w:after="60"/>
      </w:pPr>
      <w:hyperlink r:id="rId19">
        <w:r>
          <w:rPr>
            <w:color w:val="174A6C"/>
            <w:sz w:val="18"/>
          </w:rPr>
          <w:t>S6 新华传媒停牌核查公告</w:t>
        </w:r>
      </w:hyperlink>
      <w:r>
        <w:t xml:space="preserve">    ｜    </w:t>
      </w:r>
      <w:hyperlink r:id="rId20">
        <w:r>
          <w:rPr>
            <w:color w:val="174A6C"/>
            <w:sz w:val="18"/>
          </w:rPr>
          <w:t>S6 慈文传媒异动公告</w:t>
        </w:r>
      </w:hyperlink>
    </w:p>
    <w:p>
      <w:pPr>
        <w:spacing w:after="60"/>
      </w:pPr>
      <w:hyperlink r:id="rId21">
        <w:r>
          <w:rPr>
            <w:color w:val="174A6C"/>
            <w:sz w:val="18"/>
          </w:rPr>
          <w:t>S7 宝鼎科技三季度业绩预告</w:t>
        </w:r>
      </w:hyperlink>
      <w:r>
        <w:t xml:space="preserve">    ｜    </w:t>
      </w:r>
      <w:hyperlink r:id="rId22">
        <w:r>
          <w:rPr>
            <w:color w:val="174A6C"/>
            <w:sz w:val="18"/>
          </w:rPr>
          <w:t>S8 09:43短剧/AI漫剧扩散快讯</w:t>
        </w:r>
      </w:hyperlink>
    </w:p>
    <w:p>
      <w:pPr>
        <w:spacing w:after="60"/>
      </w:pPr>
      <w:hyperlink r:id="rId23">
        <w:r>
          <w:rPr>
            <w:color w:val="174A6C"/>
            <w:sz w:val="18"/>
          </w:rPr>
          <w:t>S8 09:34水产联动快讯</w:t>
        </w:r>
      </w:hyperlink>
      <w:r>
        <w:t xml:space="preserve">    ｜    </w:t>
      </w:r>
      <w:hyperlink r:id="rId24">
        <w:r>
          <w:rPr>
            <w:color w:val="174A6C"/>
            <w:sz w:val="18"/>
          </w:rPr>
          <w:t>S8 证券时报10月14日能源报道</w:t>
        </w:r>
      </w:hyperlink>
    </w:p>
    <w:p>
      <w:pPr>
        <w:spacing w:after="60"/>
      </w:pPr>
      <w:hyperlink r:id="rId25">
        <w:r>
          <w:rPr>
            <w:color w:val="174A6C"/>
            <w:sz w:val="18"/>
          </w:rPr>
          <w:t>S6 新经典:股票交易异常波动暨风险提示公告（14日晚披露）</w:t>
        </w:r>
      </w:hyperlink>
      <w:r>
        <w:t xml:space="preserve">    ｜    </w:t>
      </w:r>
      <w:hyperlink r:id="rId26">
        <w:r>
          <w:rPr>
            <w:color w:val="174A6C"/>
            <w:sz w:val="18"/>
          </w:rPr>
          <w:t>S6 百洋股份:股票交易异常波动暨风险提示公告（14日晚披露）</w:t>
        </w:r>
      </w:hyperlink>
    </w:p>
    <w:p>
      <w:pPr>
        <w:spacing w:after="60"/>
      </w:pPr>
      <w:hyperlink r:id="rId27">
        <w:r>
          <w:rPr>
            <w:color w:val="174A6C"/>
            <w:sz w:val="18"/>
          </w:rPr>
          <w:t>S6 醋化股份:关于股票交易风险提示性公告（14日晚披露）</w:t>
        </w:r>
      </w:hyperlink>
      <w:r>
        <w:t xml:space="preserve">    ｜    </w:t>
      </w:r>
      <w:hyperlink r:id="rId28">
        <w:r>
          <w:rPr>
            <w:color w:val="174A6C"/>
            <w:sz w:val="18"/>
          </w:rPr>
          <w:t>S6 超声电子:超声电子股票交易异常波动公告（14日晚披露）</w:t>
        </w:r>
      </w:hyperlink>
    </w:p>
    <w:p>
      <w:pPr>
        <w:spacing w:after="60"/>
      </w:pPr>
      <w:hyperlink r:id="rId29">
        <w:r>
          <w:rPr>
            <w:color w:val="174A6C"/>
            <w:sz w:val="18"/>
          </w:rPr>
          <w:t>S6 冰山冷热:股票交易异常波动公告（14日晚披露）</w:t>
        </w:r>
      </w:hyperlink>
    </w:p>
    <w:p>
      <w:r>
        <w:rPr>
          <w:b w:val="0"/>
        </w:rPr>
        <w:t>仅用于整理用户私有交易理论，不构成投资建议。全部动作均为条件化计划，不承诺收益；实际执行以最新公告、交易状态、盘口及个人风险承受能力为准。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2026-10-15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2026年10月15日  |  基于10月14日收盘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60" w:line="25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dealinstruc/closed/c/c_20251222_10802510.shtml" TargetMode="External"/><Relationship Id="rId12" Type="http://schemas.openxmlformats.org/officeDocument/2006/relationships/hyperlink" Target="https://quote.eastmoney.com/ztb/" TargetMode="External"/><Relationship Id="rId13" Type="http://schemas.openxmlformats.org/officeDocument/2006/relationships/hyperlink" Target="https://m.cls.cn/detail/2504449" TargetMode="External"/><Relationship Id="rId14" Type="http://schemas.openxmlformats.org/officeDocument/2006/relationships/hyperlink" Target="https://www.cls.cn/detail/2504495" TargetMode="External"/><Relationship Id="rId15" Type="http://schemas.openxmlformats.org/officeDocument/2006/relationships/hyperlink" Target="https://www.thepaper.cn/newsDetail_forward_34248997" TargetMode="External"/><Relationship Id="rId16" Type="http://schemas.openxmlformats.org/officeDocument/2006/relationships/hyperlink" Target="https://www.dabanke.com/fpb.html" TargetMode="External"/><Relationship Id="rId17" Type="http://schemas.openxmlformats.org/officeDocument/2006/relationships/hyperlink" Target="https://stockinsky.com/limit-down" TargetMode="External"/><Relationship Id="rId18" Type="http://schemas.openxmlformats.org/officeDocument/2006/relationships/hyperlink" Target="https://stockinsky.com/limit-down/2026-10-13" TargetMode="External"/><Relationship Id="rId19" Type="http://schemas.openxmlformats.org/officeDocument/2006/relationships/hyperlink" Target="https://vip.stock.finance.sina.com.cn/corp/view/vCB_AllBulletinDetail.php?id=12638538&amp;stockid=600825" TargetMode="External"/><Relationship Id="rId20" Type="http://schemas.openxmlformats.org/officeDocument/2006/relationships/hyperlink" Target="https://data.eastmoney.com/notices/detail/002343/AN202610121830372093.html" TargetMode="External"/><Relationship Id="rId21" Type="http://schemas.openxmlformats.org/officeDocument/2006/relationships/hyperlink" Target="https://money.finance.sina.com.cn/corp/view/vCB_AllBulletinDetail.php?id=12639720&amp;stockid=002552" TargetMode="External"/><Relationship Id="rId22" Type="http://schemas.openxmlformats.org/officeDocument/2006/relationships/hyperlink" Target="https://www.cls.cn/detail/2504102" TargetMode="External"/><Relationship Id="rId23" Type="http://schemas.openxmlformats.org/officeDocument/2006/relationships/hyperlink" Target="https://www.cls.cn/detail/2504088" TargetMode="External"/><Relationship Id="rId24" Type="http://schemas.openxmlformats.org/officeDocument/2006/relationships/hyperlink" Target="https://www.stcn.com/article/detail/4218256.html" TargetMode="External"/><Relationship Id="rId25" Type="http://schemas.openxmlformats.org/officeDocument/2006/relationships/hyperlink" Target="https://pdf.dfcfw.com/pdf/H2_AN202610141830465251_1.pdf?1791999371000.pdf" TargetMode="External"/><Relationship Id="rId26" Type="http://schemas.openxmlformats.org/officeDocument/2006/relationships/hyperlink" Target="https://pdf.dfcfw.com/pdf/H2_AN202610141830462441_1.pdf?1791996743000.pdf" TargetMode="External"/><Relationship Id="rId27" Type="http://schemas.openxmlformats.org/officeDocument/2006/relationships/hyperlink" Target="https://pdf.dfcfw.com/pdf/H2_AN202610141830452879_1.pdf?1791992228000.pdf" TargetMode="External"/><Relationship Id="rId28" Type="http://schemas.openxmlformats.org/officeDocument/2006/relationships/hyperlink" Target="https://pdf.dfcfw.com/pdf/H2_AN202610141830459993_1.pdf?1791995178000.pdf" TargetMode="External"/><Relationship Id="rId29" Type="http://schemas.openxmlformats.org/officeDocument/2006/relationships/hyperlink" Target="https://pdf.dfcfw.com/pdf/H2_AN202610141830464128_1.pdf?179199836900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2026年10月15日A股盘前策略</dc:title>
  <dc:subject>基于2026年10月14日完整收盘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