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2026年10月20日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analysis_date：2026-10-19 17:43 北京时间</w:t>
        <w:br/>
        <w:t>latest_market_date：2026-10-19    target_trade_date：2026-10-20</w:t>
      </w:r>
    </w:p>
    <w:p>
      <w:r>
        <w:rPr>
          <w:b/>
        </w:rPr>
        <w:t>无合格新开仓候选。强控未解除，明日不主动新增。吉大正元、东方嘉盛是今日首次成为最高3板的结构观察对象，明日验证能否拓展空间；不能把最高板上位等同于买入资格。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4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10月20日条件化结论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CLOSED。16日非ST跌停全A10/11家，19日22/24家；19日两口径均为沪深且不含ST。连续高位负反馈仍在，不符合解除条件。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AVOID。中周期：退潮延续、局部反抽；小周期：旧高位兑现，低位新题材试探但未确认起势。置信度中。支持：原H11/H4/H3全断、出版多股跌停；反证：H2扩容、物理AI/机器人及PCB修复。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主体对象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吉大003029、东方002889 H3：19日新最高梯队结构观察T，20日T+1首次验证。X/C主干未核齐，不能确认广义身份；东方公告方向表述另有矛盾。</w:t>
            </w:r>
          </w:p>
        </w:tc>
      </w:tr>
      <w:tr>
        <w:trPr>
          <w:cantSplit/>
        </w:trPr>
        <w:tc>
          <w:tcPr>
            <w:tcW w:type="dxa" w:w="17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买点与P0仓位</w:t>
            </w:r>
          </w:p>
        </w:tc>
        <w:tc>
          <w:tcPr>
            <w:tcW w:type="dxa" w:w="84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没有获准主动买点，新增仓位0。吉大19日一字，东方振幅14.95个百分点且回封早于13:30；两者都不能倒推为今日合格超级先手。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最终是否执行</w:t>
            </w:r>
          </w:p>
        </w:tc>
        <w:tc>
          <w:tcPr>
            <w:tcW w:type="dxa" w:w="84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无持仓不主动新开。有持仓按原退出计划、真实承接及可成交性管理，不因局部反包自动加仓。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Hmax=3：吉大正元、东方嘉盛；X=UNKNOWN，C=UNKNOWN，Y=UNKNOWN。X≠C≠Y。新华传媒前H11、冰山前H4、文轩前H3现均标断板；慈文反包严格H1，不累计成H7。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明日第一次操作或验证对象</w:t>
            </w:r>
          </w:p>
        </w:tc>
        <w:tc>
          <w:tcPr>
            <w:tcW w:type="dxa" w:w="72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权限与原因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可执行新开仓：无</w:t>
            </w:r>
          </w:p>
        </w:tc>
        <w:tc>
          <w:tcPr>
            <w:tcW w:type="dxa" w:w="72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风险硬否决；同时存在主体资格与数据质量缺口，并非只因情绪不支持。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结构首次验证：吉大、东方</w:t>
            </w:r>
          </w:p>
        </w:tc>
        <w:tc>
          <w:tcPr>
            <w:tcW w:type="dxa" w:w="72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只观察3进4、同层分离及各自后排联动；不是已确认的买入窗口。其他H2未首次居最高空间，不占首页新仓。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主流分支：低空/汽零存量晋级，机器人/物理AI、PCB/PTFE、数据要素、绿电及化工等轮动。没有证据完整的唯一主带队票；带队预选和最早有效封板分别列于第8章。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风险总闸门与情绪环境辅助判断</w:t>
      </w:r>
    </w:p>
    <w:p>
      <w:r>
        <w:rPr>
          <w:b w:val="0"/>
        </w:rPr>
        <w:t>10月19日周一已完整收盘，10月20日周二为下一正式交易日。上交所年度休市安排与9月17日国庆公告确认10月8日起开市；19—20日不在休市范围。未核得全市场临时停市；个股交易状态与公告单独核验。[S1]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5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19日核验与结论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连续跌停阈值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16日东方财富非ST全A10家（含北交1），腾讯等价11家；19日东方财富22家，腾讯27家剔除*ST威领002667、*ST亿晶600537、*ST尔雅600107后24家。两日同口径均≥10，CLOSED成立。[S2,S3,S6]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今日差异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腾讯非ST24比东方财富22多郑州煤电600121（4.88元）、龙版传媒605577（14.86元），直接报价均等于各自跌停价。东方财富未列，保留22/24。今日均无北交，不能拿16日沪深9家解除。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高位反馈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新华传媒11进12失败、冰山4进5失败，文轩3进4跌停；读者2进3跌停，尖峰2进3跌8.30%。百洋/阳光/和泰第二跌停，东百第三跌停。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解除条件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远程+4.05%、仁东+1.91%、有研+1.07%有局部反抽；农心-0.34%、国恩-1.08%、大金-2.82%，天马反核后-1.46%。出版再现批量跌停，不可认定连续A杀已批量稳定。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昨日非ST连板指数连续两日≤-1%的精确序列未核齐，不能用昨日全部涨停股均值、红盘率或平台评分替代；风险结论已由跌停阈值独立确认。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公告与交易</w:t>
            </w:r>
          </w:p>
        </w:tc>
        <w:tc>
          <w:tcPr>
            <w:tcW w:type="dxa" w:w="85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19日核心均有实际成交。吉大18日异动提示AI安全/抗量子/低空相关业务收入低且半年亏损；新华18日风险及重组进展已核。20日盘前仍须复查新停复牌和公告。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指数与短线情绪分开</w:t>
      </w:r>
    </w:p>
    <w:p>
      <w:r>
        <w:rPr>
          <w:b w:val="0"/>
        </w:rPr>
        <w:t>腾讯19日收盘：沪指3730.92（+0.39%）、深成指11817.42（+0.13%）、创业板2746.29（-0.94%）；沪指开3694.12、日高3743.80、日低3692.29。打板客显示+0.41%/+0.14%/-0.92%，与直接报价存在小幅差异，不混拼点位。其沪深北成交约1.45万亿、上涨2275/下跌3129，范围与时点据该平台，不冒充统一交易所精确值。[S3,S5]</w:t>
      </w:r>
    </w:p>
    <w:p>
      <w:r>
        <w:rPr>
          <w:b w:val="0"/>
        </w:rPr>
        <w:t>情绪中周期假设为退潮延续中的局部反抽；小周期为旧高位兑现、低位试探新方向。沪指红盘与出版跌停、高度降至3板背离，创业板弱势构成约束。支持回避：非ST跌停22/24、旧高位全断；反证：H2九只、物理AI三封、PCB反包。尚不足确认新中周期起势，许可AVOID，阶段置信度中。</w:t>
      </w:r>
    </w:p>
    <w:p>
      <w:r>
        <w:rPr>
          <w:b w:val="0"/>
        </w:rPr>
        <w:t>依据E1第3、7、21—22、25—26节，重点是核心分歧、退潮中局部独立表现以及指数/赚钱效应背离。E1第12/13节正文与部分图缺失，标记“情绪依据不足/需回查原文”。待确认：跌停一致口径回个位数、A杀批量企稳、最高梯队主动拓展且后排同步。情绪不解除P0限制，不引用历史仓位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6048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19日更新</w:t>
            </w:r>
          </w:p>
        </w:tc>
        <w:tc>
          <w:tcPr>
            <w:tcW w:type="dxa" w:w="60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边界与证据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3：吉大003029、东方002889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严格连续3板，均首次居最高梯队；最高板不是X。新华前11、冰山前4、文轩前3已断。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有效空间主干、上一次X及规定全淘汰链尚未完整核验；今日Hmax3不等于X=3。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数值UNKNOWN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公式clamp(X-3,3,5)。P0范围3—5，H3不因高度本身被排除；这是界限推论，不等于已核齐C快照、身份与所有过滤。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19日冰山结构观察T+1失败只构成待核事件，上游有效广义资格缺证，不能认作有效A，更无连续两次A/B。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H3两只 H2九只 H1三十五只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以46只非ST收盘池逐票核对；反包不累计。另杰克603337收于涨停价而未入池，差异单列。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X≠C≠Y。19日盘中使用16日收盘有效C，20日使用19日收盘有效快照，数值仍未核齐。不能因为今天旧高标全断，就在盘中重算并倒推先手。</w:t>
      </w:r>
    </w:p>
    <w:p>
      <w:pPr>
        <w:pStyle w:val="Heading2"/>
      </w:pPr>
      <w:r>
        <w:t>空间角色与事件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608"/>
        <w:gridCol w:w="3456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日期和事件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账本判断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更新处理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13—16日原结构观察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13日H3组部分延续至15日H5，16日双H5断；16日冰山H4成为非公告组最高。原正式资格及X缺口未解决。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16日双H5全败不是原T13的T+1，不凑A。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19日冰山4进5失败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16日新结构观察的T+1验证失败；收7.80、未触涨停8.38，低温/冰雪后排未同步。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取消该结构普通首次预期。有效A身份待核，不擅自下压X。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19日新华11进12失败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公告高标前11止步，收15.58；16日一字、19日开板不是连续两日高位有效换手，公告空接资格未恢复。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不因一个高位开板日给公告空接新窗；仍保留公告风险。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19日两只H3上位</w:t>
            </w:r>
          </w:p>
        </w:tc>
        <w:tc>
          <w:tcPr>
            <w:tcW w:type="dxa" w:w="460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吉大一字、东方大分歧回封首次成为客观最高。原可交易序列H5→H4→H3有压缩现象，但有效主干轮次未核。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新结构观察T=19日；有望成为广义细分，但不最终确认控怪/自然身份。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控怪字段：原非公告高标H5（15日）、H4（16日）、H3（19日），逐次均为连续压缩/降一层，无跳过梯队。是否属于有效主干连续第二轮、此前空中飘淘汰反馈均待核。并列两锚比独苗更有观察价值，但不能单凭数量确认。今日客观3板不能证明空间总高度已连续两次≤3，不自动触发重置。</w:t>
      </w:r>
    </w:p>
    <w:p>
      <w:pPr>
        <w:pStyle w:val="Heading1"/>
        <w:pageBreakBefore/>
      </w:pPr>
      <w:r>
        <w:t>3 严格连板梯队与封板全名单</w:t>
      </w:r>
    </w:p>
    <w:p>
      <w:r>
        <w:rPr>
          <w:b w:val="0"/>
        </w:rPr>
        <w:t>东方财富19日非ST涨停池46行、46唯一代码，严格连板11只。财联社15:10收盘稿同为46封、11连板；其中原连板组晋级为吉大/东方2/7=28.57%，与“昨日全部涨停61只中11只晋级”18.03%分母不同。[S2,S4]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rPr>
          <w:cantSplit/>
          <w:tblHeader/>
        </w:trPr>
        <w:tc>
          <w:tcPr>
            <w:tcW w:type="dxa" w:w="14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严格高度</w:t>
            </w:r>
          </w:p>
        </w:tc>
        <w:tc>
          <w:tcPr>
            <w:tcW w:type="dxa" w:w="87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完整名单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H3（2只）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东方嘉盛002889、吉大正元003029</w:t>
            </w:r>
          </w:p>
        </w:tc>
      </w:tr>
      <w:tr>
        <w:trPr>
          <w:cantSplit/>
        </w:trPr>
        <w:tc>
          <w:tcPr>
            <w:tcW w:type="dxa" w:w="14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H2（9只）</w:t>
            </w:r>
          </w:p>
        </w:tc>
        <w:tc>
          <w:tcPr>
            <w:tcW w:type="dxa" w:w="87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甘化科工000576、万丰奥威002085、海洋王002724、长春一东600148、东安动力600178、京城股份600860、保隆科技603197、大业股份603278、文灿股份603348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H1（35只）</w:t>
            </w:r>
          </w:p>
        </w:tc>
        <w:tc>
          <w:tcPr>
            <w:tcW w:type="dxa" w:w="87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双枪科技001211、华瓷股份001216、慕思股份001323、宁波东力002164、慈文传媒002343、太极股份002368、金达威002626、沃特股份002886、润建股份002929、兆威机电003021、锦鸡股份300798、四会富仕300852、正强股份301119、凡拓数创301313、肯特股份301591、大普微-UW301666、浙江新能600032、海正药业600267、达仁堂600329、亨通光电600487、金龙汽车600686、晶科科技601778、新坐标603040、浙江荣泰603119、亚邦股份603188、日盈电子603286、天洋新材603330、科森科技603626、江苏新能603693、能科科技603859、澳弘电子605058、天普股份605255、协和电子605258、福莱新材605488、索辰科技688507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H4及以上为0。慈文002343为7天6板反包、澳弘605058为21天12板反包，二者严格H1；不是H7或H12。新华/冰山/文轩/读者/尖峰均标“断板”，不因高位反抽保留旧连续H。</w:t>
      </w:r>
    </w:p>
    <w:p>
      <w:r>
        <w:rPr>
          <w:b w:val="0"/>
        </w:rPr>
        <w:t>统计差异：财联社封板未遂20、46/66约70%；东方财富炸板接口tc21但pool空，46/67约68.66%；打板客触板70、46/70=65.7%。口径差异保留，不编造完整21只名单。打板客全市场分布涨停50不能直接与非ST46混用。</w:t>
      </w:r>
    </w:p>
    <w:p>
      <w:r>
        <w:rPr>
          <w:b w:val="0"/>
        </w:rPr>
        <w:t>杰克科技603337腾讯收34.46=涨停价，未在东方财富46池；打板客列“曾涨停”。暂列收盘价达涨停的口径差异，不替换46池、不猜开板次数或累计高度。</w:t>
      </w:r>
    </w:p>
    <w:p>
      <w:pPr>
        <w:pStyle w:val="Heading1"/>
        <w:pageBreakBefore/>
      </w:pPr>
      <w:r>
        <w:t>4 10月20日第一次可操作或验证对象</w:t>
      </w:r>
    </w:p>
    <w:p>
      <w:r>
        <w:rPr>
          <w:b/>
        </w:rPr>
        <w:t>可执行首次新开仓为无。新的首次结构验证对象仅吉大与东方，风险硬否决与主体资格不足分别记录。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888"/>
        <w:gridCol w:w="4248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模式T日与目标阶段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资格与20日动作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吉大正元003029 H3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19日首次最高结构观察T；20日T+1，21日T+2，22日T+3，23日T+4。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有望成为狭义自然/控怪的待核结构，不能预先三选一。H3满足C制度下界，但有效C、主动带动与压缩轮次未全核。20日只验证3进4、真实换手和后排，不主动新开。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东方嘉盛002889 H3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同为19日新最高结构观察T；20日T+1。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非起手连续一字，19日巨幅分歧后回封。有望成为广义细分，严物流无涨停跟风、公告方向有差异，数据质量降级；只观察，不确认为可执行锚。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H2九只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连续涨停首日不是模式T；未核得19日独立新空间T。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仅分支延续观察，不把2进3机械当空接首次窗，也不拿其代替买不到的一字高标。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冰山/新华/文轩等旧高位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冰山16日结构观察T的19日T+1已结束且失败，20日T+2日历不等于有效补救；原13日观察已更后。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移历史/持仓/独立后续模式，不占首页首次新仓。新华尚无公告空接恢复T；慈文反包也不重设旧首次窗口。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首次结构验证不等于模式买点。20日若同层仍未分离、后排弱、风险未解除或数据缺口未补，保持观察；不能因高开或一只涨停就确认自然空接或新周期。</w:t>
      </w:r>
    </w:p>
    <w:p>
      <w:pPr>
        <w:pStyle w:val="Heading1"/>
        <w:pageBreakBefore/>
      </w:pPr>
      <w:r>
        <w:t>5 今日超级先手与明日常规节点分池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池别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19日结果与20日边界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19日可执行超级先手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无已核合格对象。吉大9:25一字H3，东方10:37首封/13:26末封H3；两票并列未完成当时唯一最高确认，C快照缺口且风险CLOSED。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东方的硬过滤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振幅(15.74−13.60)/14.31=14.95个百分点，超过10cm≤9.99；末封13:26:03早于常规13:30。不能用收盘涨停倒推先手。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19日空接断板龙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无已核执行。上方公告高标与冰山虽断，但没有上方被动空间身份、盘中明显失效时点及下方唯一上位的完整动态链；不能把所有潜在新空间都命名为空接断板龙。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19日其他午后板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大业13:36、凡拓13:51、索辰14:31等只是题材/首板或H2。不是独一份最高空间，时点合规本身不足；慈文14:51晚封更非新先手。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20日首次常规验证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吉大/东方新结构T+1，仅观察资格与预期成立/强化/证伪；暂无获准主动新仓。19日先手复盘不得写成20日新买点。</w:t>
            </w:r>
          </w:p>
        </w:tc>
      </w:tr>
      <w:tr>
        <w:trPr>
          <w:cantSplit/>
        </w:trPr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20日待触发先手</w:t>
            </w:r>
          </w:p>
        </w:tc>
        <w:tc>
          <w:tcPr>
            <w:tcW w:type="dxa" w:w="80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13:30—14:35记录新空间；需上一收盘C、当时唯一最高、老空间继续连板预期极低、振幅合规、主动封/回封与成交全部核实。当前强控下不新增。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只允许打板/回封确认，不提前低吸、不主观半路；10cm振幅≤9.99、20cm≤19.99个百分点，14:35后不新增。开盘老空间快速核跌停的特殊前置也不能免除唯一、振幅、风险和成交过滤。</w:t>
      </w:r>
    </w:p>
    <w:p>
      <w:pPr>
        <w:pStyle w:val="Heading1"/>
        <w:pageBreakBefore/>
      </w:pPr>
      <w:r>
        <w:t>6 T日有望成为预选池及淘汰理由</w:t>
      </w:r>
    </w:p>
    <w:p>
      <w:r>
        <w:rPr>
          <w:b w:val="0"/>
        </w:rPr>
        <w:t>19日有望成为结构预选：吉大、东方。完整主体资格仍待核；CLOSED下均不是可执行新仓。T日预期与次日确认分开，允许规则支持的身份叠加，不预定最终身份。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4104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标的和标记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身份预期及高度过滤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排除或降级原因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吉大003029 H3</w:t>
              <w:br/>
              <w:t>19日一字 有异动公告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有望成为狭义自然空接龙，控怪属性待有效连续压缩链确认；H3不高于C任何有效档位。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一字不可成交不等于主动引领，严格信息安全缺后排；半年度亏损及热点业务收入低。C数值/上游轮次未核齐，风险否决。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东方002889 H3</w:t>
              <w:br/>
              <w:t>19日非一字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有望成为广义空接细分，可能控怪/自然属性，但不是已确认龙头；H3高度不构成单独超C。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物流同细分无封板跟风，日内振幅14.95、C未核；异动正文“跌幅偏离”与连续涨停方向矛盾，需回查原文，降级观察。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新华600825 前H11</w:t>
              <w:br/>
              <w:t>重组 复牌背景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19日断板；公告空接两日有效换手条件不成立。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16日一字＋19日一个开板日不足；不能因断板仍红盘恢复资格。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 前H4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19日首次结构验证未晋级，空间预期证伪。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最多转入趋势观察；前置正式空接资格及首阴量价不足，不直接命名空转趋可买。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 读者 尖峰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19日均断板，出版/水泥普通新空间T从未核定。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跌停/大跌后不凭价格便宜创造新首阴、压突或反包买点。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H2九只</w:t>
            </w:r>
          </w:p>
        </w:tc>
        <w:tc>
          <w:tcPr>
            <w:tcW w:type="dxa" w:w="40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为低空/机器人/军工等分支观察，未首次最高。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T+2前提未成立；不能用主观错过吉大/东方来购买同题材后排。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 澳弘 H1反包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N+单列，旧窗口已过；反包本身不创造广义空接资格。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慈文短剧后排弱、澳弘四次开板末封14:55；只在独立后续模式满足时重新研究。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例行异动公告不自动等同“公告起手一字票”：吉大、东方15日首板有换手；19日一字的吉大不等于起手连续一字。新华重大重组及复牌连续一字背景则继续特殊处理。停复牌20日待最新公告复核；被动空间未证明者不硬贴擦板。</w:t>
      </w:r>
    </w:p>
    <w:p>
      <w:pPr>
        <w:pStyle w:val="Heading1"/>
        <w:pageBreakBefore/>
      </w:pPr>
      <w:r>
        <w:t>7 全部模式扫描与Y信号账本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19日判断与20日边界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自然空接 控怪 空拐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新H3两票仅有望成为；原非公告H5→H4→H3是客观连续压缩，是否有效第二轮及前空中飘反馈未核，不写必成。自然属性须主动题材带动，不由一字证明。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若属首次连续压缩且独苗等原条件才评估，今日并列不能仅据数量排除所有空中飘可能。身份待核；今日先手无，20日常规接力默认舍弃/观察，三层分开。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19日最高H3上方原高位已断，收盘不再有有效上方被动高板结构；此前公告高标角色未证明。无正式断板龙T日，只保留历史结构复核。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今日无完整提前一天动态链及唯一先手，不能将吉大/东方自动称为该模式。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新华未连续两个高位有效换手日，尚无资格恢复；单日放量断板不是新恢复窗。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T+2补救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16日冰山结构T的19日T+1失败，不成立20日补救；19日两H3若20日成功且客观无法成交或主仓加剩余仓条件齐，才研究21日不同题材H2/H3分支，不提前授权。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T+3 T+4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需已验证T+2成功/原锚连续至T+3，不按自然天顺延。原13日/16日链未满足，20日不无条件追H2或反包。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沪指日高3743.80相对前收3716.28约+0.74%、收+0.39%，不满足最高≥1.5%、收≥1.2%，不成立。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 首阴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冰山/新华/慈文仅跟踪，缺可追溯上游及量价/趋势判定；不将一根阴线或反包当买点。趋势参考不统一为单一止损线。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 分离 4K 6K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20日按19日逐票基准确认，工具不创造身份；4K/6K完整量价、时点与失效参数需回查原文/体系依据不足。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压突来源账本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88"/>
        <w:gridCol w:w="4392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日期与来源尝试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失败高度与模式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有效性及连续性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14—15日 原T13组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14/15日均仍有同组晋级，部分失败不等于全败。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非有效A，潜在T+2分支前提也未齐。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16日 双H5失败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原T13的T+3，慈文/百洋前H5断。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不是T+1全淘汰，不可计A。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 冰山失败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观察T16的T+1，前H4、4进5失败。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事实全淘汰但正式广义上游/C未核，A待核不计有效；即使将来补证也只有一条，不能算两压。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 其他高位/分支</w:t>
            </w:r>
          </w:p>
        </w:tc>
        <w:tc>
          <w:tcPr>
            <w:tcW w:type="dxa" w:w="38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新华前H11、文轩前H3、读者前H2等失败。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公告排除/无正式锚，不能凑A。原T16的T+1失败，无有效T+2B；同层其他成功亦不能称全部失败。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最近两个连续有效A/B尚缺，Y=UNKNOWN，H与Y关系不可判定。P1所述有效突破/重新拓展会打断连续性，不能跨无身份事件拼失败高度。</w:t>
      </w:r>
    </w:p>
    <w:p>
      <w:pPr>
        <w:pStyle w:val="Heading1"/>
        <w:pageBreakBefore/>
      </w:pPr>
      <w:r>
        <w:t>8 板块梯队 主流分支与带队票验证</w:t>
      </w:r>
    </w:p>
    <w:p>
      <w:r>
        <w:rPr>
          <w:b w:val="0"/>
        </w:rPr>
        <w:t>A 核心候选板块验证表。当前无可执行新仓，下表覆盖首次结构观察对象和重要历史验证对象。跟风数量不含本票，严格细分与宽观察组不混合。数量来自收盘池与报价，不证明资金因果。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024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对象与口径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封板 炸板和跟涨</w:t>
            </w:r>
          </w:p>
        </w:tc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梯队与完整性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时序与结论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吉大003029</w:t>
              <w:br/>
              <w:t>严信息安全/抗量子</w:t>
              <w:br/>
              <w:t>宽IT与军工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严收封0；宽软件/IT封3：索辰688507、太极002368、能科603859，均非严格信息安全。宽军工观察组甘化000576、海洋002724、长春600148、东安600178四只H2另列。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严仅H3无H1/H2；宽IT H1/H3缺H2；军工交叉宽组可见H2/H3但非一体同支。均不笼统称完整。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9:25一字早于太极9:33、能科13:30、索辰14:31最终封；只能证先后，不证由吉大带动。先锋/星光未封且下跌，严格后排不足。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东方002889</w:t>
              <w:br/>
              <w:t>严物流</w:t>
              <w:br/>
              <w:t>宽半导体设备服务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严收封跟风0；远大000626-3.52%、恒通603223平盘，均未触板。宽芯片方向大普微301666 H1，但存储/设备服务不同细分，不计严跟风。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严仅H3，缺H1/H2；宽跨支1/3也缺2，未完整。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10:37首封、13:26回封；大普微10:25先封，不能倒推为东方带动。缺可靠同支扩散，主带队待确认。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 前H4</w:t>
              <w:br/>
              <w:t>严制冷 宽冰雪低温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严跟风收封0；福斯达603173-3.00%、大千603955+5.01未触板；晶雪301010-11.24%、雪人002639-7.34%、大连600593跌停。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本票断板，无有效严格1/2/3梯队；16日宽首板未晋级，不完整。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19日开7.01大低开后修复但未板，后排弱；16日带队预选未延续，结构证伪。</w:t>
            </w:r>
          </w:p>
        </w:tc>
      </w:tr>
      <w:tr>
        <w:trPr>
          <w:cantSplit/>
        </w:trPr>
        <w:tc>
          <w:tcPr>
            <w:tcW w:type="dxa" w:w="15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出版/传媒历史组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文轩601811、读者603999、出版601999、新经典603096、龙版605577均跌停，华媒000607亦跌停；慈文002343为短剧跨支反包H1。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原出版H1/H2/H3全败，无封板完整梯队；短剧H1不能补出版断层。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新华断板仍红盘不等于板块延续；慈文14:51晚封，不认其带动早前已经跌停的出版组。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公告题材与模式标记不能混用。跨题材宽组只解释环境；“同日都涨”不能证明一个票带起另一票。封单过程、撤单和回封量不足时，统一记“带队票待确认”。</w:t>
      </w:r>
    </w:p>
    <w:p>
      <w:pPr>
        <w:pStyle w:val="Heading1"/>
        <w:pageBreakBefore/>
      </w:pPr>
      <w:r>
        <w:t>8 主流分支带队表</w:t>
      </w:r>
    </w:p>
    <w:p>
      <w:r>
        <w:rPr>
          <w:b w:val="0"/>
        </w:rPr>
        <w:t>B 各分支最高、最早有效、封单稳定与辨识度分开。最早以可核零开/末封为线索，不把首触直接当有效封；收盘封单总额不证明全天最稳。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168"/>
        <w:gridCol w:w="2448"/>
        <w:gridCol w:w="2952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分支与最高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最早有效 稳定观察</w:t>
            </w:r>
          </w:p>
        </w:tc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辨识度 主带队结论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跟风与梯队 次日验证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低空/飞行汽车宽组</w:t>
              <w:br/>
              <w:t>吉大H3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吉大9:25一字；保隆9:25:01一字封3.32亿，文灿9:30:06、万丰9:31:24零开。不能据同竞价先后确定主动引领。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吉大高度，万丰辨识，保隆封单规模不同；主带队待确认。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以16日17只宽封板原组核，19日仅保隆/万丰/文灿/东安4续H2，详下页；新吉大跨支H3，H1金龙/沃特有多重题材。宽齐不代表严齐，20日待验证。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汽车零部件行业</w:t>
              <w:br/>
              <w:t>五只H2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长春/保隆9:25:01零开，东安9:30:02零开；正强13:37、新坐标13:50为后续H1扩散。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万丰高度辨识与保隆/长春竞价领先不一致；无已确认主带队。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池内10封：H2五/H1五，以保隆观察跟风9；缺H3，不完整。20日看五H2分离及后排。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机器人/人形宽组</w:t>
              <w:br/>
              <w:t>大业等H2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大业13:36零开，宁波13:35零开，浙江荣泰13:53末封2开、兆威14:16末封1开。多数启动时序互有交叉。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大业高度、正强20cm、凡拓/索辰跨物理AI，不能强选一只。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人形概念页11只封板，均与46池相交；另杰克收于板价但未入池、新兴炸。H1/H2有，缺H3；20日未验证。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物理AI</w:t>
              <w:br/>
              <w:t>全H1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能科13:30:34零开最早，凡拓13:51:21零开，索辰14:31:20零开。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能科有先后扩散线索，列带队预选；全过程封单/因果未证，主带队未确认。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3封，以能科观察跟风2；奥比688322+10.51%、豪恩301488+5.75%未触板。缺H2/H3，20日看首板晋级。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PCB</w:t>
              <w:br/>
              <w:t>全H1 含N+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协和11:13末封2开，四会13:13末封1开，澳弘14:55末封4开；四会虽首触较早，并非最早最终封。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澳弘多日辨识但反复开板，四会20cm与业绩属性，协和更早回封；主带队待确认。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严格PCB3封，以协和观察跟风2；缺H2/H3。PTFE另支不能并成全部PCB。20日看后排及旧PCB风险。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PTFE/PEEK材料</w:t>
              <w:br/>
              <w:t>全H1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肯特10:42:36末封1开，沃特11:28:18末封2开；恒勃仅+8.35%非涨停。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肯特时序领先，列预选；同属宽PEEK不自动证明当日同驱动。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2封、以肯特跟风1，缺2/3；宽塑料另有福莱/天洋H1，不当严PTFE。20日待验证。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军工/兵装观察组</w:t>
              <w:br/>
              <w:t>甘化等H2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海洋/长春竞价零开，甘化9:50:57末封1开，东安9:30零开；长城只+5.01%。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多个细分各自强，不能笼统给军工唯一主带队。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甘化地面兵装严独苗，宽海洋/长春/东安为3跟风观察；H2多但同细分缺1/3，20日核扩散。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数据要素 绿电 化工</w:t>
              <w:br/>
              <w:t>均H1为主</w:t>
            </w:r>
          </w:p>
        </w:tc>
        <w:tc>
          <w:tcPr>
            <w:tcW w:type="dxa" w:w="316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太极9:33末封；绿电江苏10:02、浙江10:11零开、晶科11:01末封。化工亚邦13:16、锦鸡14:00末封。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各支时序不同，分别预选太极/江苏；没有完整因果链，不正式确认带队。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数据要素太极封、久远002777触板未封；绿电3封/缺2、3；染料2封/缺2、3。20日均待下一交易日验证。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8 主流分支数量与名单核对</w:t>
      </w:r>
    </w:p>
    <w:p>
      <w:pPr>
        <w:pStyle w:val="Heading2"/>
      </w:pPr>
      <w:r>
        <w:t>低空和汽车零部件</w:t>
      </w:r>
    </w:p>
    <w:p>
      <w:r>
        <w:rPr>
          <w:b w:val="0"/>
        </w:rPr>
        <w:t>按16日已核17只低空/飞行汽车宽封板原组追踪：19日保隆603197、万丰002085、文灿603348、东安600178四只续H2，原组另外13只未续板；这是原组晋级，不冒称今日全部概念成分。天汽模002510触板未封；中信000099高16.22低于板价16.23，不误记炸板；华力300045+2.52%、宗申001696+0.25%，英搏尔300681-3.50%、佳力奇301586-5.18%体现后排分化。</w:t>
      </w:r>
    </w:p>
    <w:p>
      <w:r>
        <w:rPr>
          <w:b w:val="0"/>
        </w:rPr>
        <w:t>今日吉大H3的低空安全属于交叉分支，京城H2为气瓶/机器人，金龙600686 H1为商用车/低空宽概念，沃特H1为材料交叉。只在宽口径显示1/2/3，不据此称每个严格细分梯队完整。</w:t>
      </w:r>
    </w:p>
    <w:p>
      <w:r>
        <w:rPr>
          <w:b w:val="0"/>
        </w:rPr>
        <w:t>严格行业汽车零部件10封：万丰奥威002085 H2、正强股份301119 H1、长春一东600148 H2、东安动力600178 H2、新坐标603040 H1、浙江荣泰603119 H1、保隆科技603197 H2、日盈电子603286 H1、文灿股份603348 H2、天普股份605255 H1。H2五只、H1五只，缺H3；与低空重叠不相加。</w:t>
      </w:r>
    </w:p>
    <w:p>
      <w:pPr>
        <w:pStyle w:val="Heading2"/>
      </w:pPr>
      <w:r>
        <w:t>人形机器人与物理AI</w:t>
      </w:r>
    </w:p>
    <w:p>
      <w:r>
        <w:rPr>
          <w:b w:val="0"/>
        </w:rPr>
        <w:t>人形机器人宽概念11只收封：大业股份603278、索辰科技688507、四会富仕300852、宁波东力002164、日盈电子603286、兆威机电003021、亨通光电600487、浙江荣泰603119、能科科技603859、福莱新材605488、沃特股份002886。只有大业H2、其余H1，缺H3。成分关系宽，概念页注明仅4只封板逻辑吻合，不能把11只全部认定同因上涨。杰克603337收于板价但未入46池，单列差异；新兴002933开盘触板收+3.50%属炸板；斯菱301550+13.98%、奥比688322+10.51%未触涨停。</w:t>
      </w:r>
    </w:p>
    <w:p>
      <w:r>
        <w:rPr>
          <w:b w:val="0"/>
        </w:rPr>
        <w:t>物理AI严观察组3封：能科603859、凡拓301313、索辰688507，均H1；按能科预选跟风2。13:30→13:51→14:31的时序支持扩散线索，资金因果及稳定性待确认。</w:t>
      </w:r>
    </w:p>
    <w:p>
      <w:pPr>
        <w:pStyle w:val="Heading2"/>
      </w:pPr>
      <w:r>
        <w:t>PCB 材料 电力与化工</w:t>
      </w:r>
    </w:p>
    <w:p>
      <w:r>
        <w:rPr>
          <w:b w:val="0"/>
        </w:rPr>
        <w:t>PCB严3封：四会300852、协和605258、澳弘605058，均H1；澳弘N+另记。PTFE/PEEK宽材料2封：肯特301591、沃特002886；四塑料行业还含福莱605488、天洋603330，但应用细分不同。</w:t>
      </w:r>
    </w:p>
    <w:p>
      <w:r>
        <w:rPr>
          <w:b w:val="0"/>
        </w:rPr>
        <w:t>绿电严观察组3封：江苏新能603693、浙江新能600032、晶科601778；染料2封：锦鸡300798、亚邦603188；家居用品3封：慕思001323、华瓷001216、双枪001211。各组均仅H1、缺2/3，不把孤立轮动凑成新主线。</w:t>
      </w:r>
    </w:p>
    <w:p>
      <w:r>
        <w:rPr>
          <w:b w:val="0"/>
        </w:rPr>
        <w:t>带队票20日验证：前排继续板且后排同步才记有效延续；高开低走为失败，低开闷杀为证伪。独板但后排退潮只记抱团，不先填明日成功。</w:t>
      </w:r>
    </w:p>
    <w:p>
      <w:pPr>
        <w:pStyle w:val="Heading1"/>
        <w:pageBreakBefore/>
      </w:pPr>
      <w:r>
        <w:t>9 吉大正元首次结构验证卡</w:t>
      </w:r>
    </w:p>
    <w:p>
      <w:r>
        <w:rPr>
          <w:b w:val="0"/>
        </w:rPr>
        <w:t>吉大正元003029 信息安全/抗量子，低空与军工为交叉概念。开24.19、收24.19元（10.00%），低24.19；首触/首封09:25:00、末封09:25:00，开板0次，换手4.11%，收盘封单2.01亿元。[S2,S3]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</w:t>
            </w:r>
          </w:p>
        </w:tc>
        <w:tc>
          <w:tcPr>
            <w:tcW w:type="dxa" w:w="82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20日条件化执行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 标记 首次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H=Hmax=3；X/C/Y数值UNKNOWN。H3满足P0有效C下界，但未核完整C/空间链。19日一字、15/16日有换手，不是起手连续一字；无已核停复牌，普通异动公告不等于公告龙。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身份与时间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19日首次最高结构观察T，20日该观察T+1首次验证；有望成为自然空接/控怪的结构待证，允许有依据叠加但不最终命名。上方已断，无正式断板龙T；压突无Y。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今日先手 明日价值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19日超级先手否，一字/并列/风险/C不足；20日普通窗口只有结构验证价值，不获准主动新开。首次结构窗仍有效，正式操作资格未建立。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依据与反证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晋H3、9:25一字封2.01亿、同日宽军工H2多。反证：严格安全后排不足、非自然主动封板、上游链未核、公告热点业务收入低且半年亏损。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相对19日一字，20日须真实可成交换手而非虚撤、承接有序、有效封/回封且同支扩散，不能只看高开。无持仓仍不新增；持仓符合原计划才继续管理，不自动加仓。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符合或低预期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一字延续但无成交仅观察，不因买不到切次强。竞价显弱、开板失均价承接、快速回落或同层反卡为低预期；有持仓按原风险退出，无持仓不抄底。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禁止 失效 缺口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CLOSED、数据不齐、不可成交、公告升级均禁止新开；未晋级或主动空间/题材地位被证伪，取消预期。竞价撤单、真实量能、均价、封单稳定与后排因果待盘中。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公告实际发布时间18日15:32—15:33，名义落款19日。AI安全/抗量子及低空相关业务收入占比低，不能把概念上涨解读成业绩确定兑现；20日盘前核新公告与交易状态。</w:t>
      </w:r>
    </w:p>
    <w:p>
      <w:pPr>
        <w:pStyle w:val="Heading1"/>
        <w:pageBreakBefore/>
      </w:pPr>
      <w:r>
        <w:t>9 东方嘉盛首次结构验证卡</w:t>
      </w:r>
    </w:p>
    <w:p>
      <w:r>
        <w:rPr>
          <w:b w:val="0"/>
        </w:rPr>
        <w:t>东方嘉盛002889 物流/供应链，半导体设备服务为宽观察概念。开15.15、收15.74元（9.99%），低13.60；首触/首封10:37:33、末封13:26:03，开板1次，换手20.48%，收盘封单0.33亿元。振幅14.95个百分点。[S2,S3]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逐票字段</w:t>
            </w:r>
          </w:p>
        </w:tc>
        <w:tc>
          <w:tcPr>
            <w:tcW w:type="dxa" w:w="82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20日条件化执行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变量与标记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H=Hmax=3，X/C/Y数值UNKNOWN；H3不被有效C范围3—5的高度门槛单独排除。15日首板换手、16日一字、19日充分换手，非起手连续一字；未核停复牌特殊。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身份 T日 首次窗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19日首次最高结构观察T，20日T+1；有望成为广义空接细分但主动带动与压缩链不足，未正式确认为自然/控怪/断板/压突。首次结构验证仍在，操作权限未建立。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今天先手 明天价值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19日先手否：14.95&gt;9.99、回封13:26早于13:30、并列高标及强控；20日只观察分歧能否转稳定，不给无条件3进4买点。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成立证据及反证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两高位断后H3居顶、19日分歧回封；反证为严格物流后排无涨停、封单仅0.33亿、20.48%换手且振幅剧烈，公告方向表述有矛盾。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以19日从低13.60至封15.74的大分歧为基准：20日承接更稳、主动有效封/回封、真实物流/服务链后排扩散才强化观察。高开冲板不足；无持仓仍不新增，持仓按原计划。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符合或低预期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分歧有承接仅观察；反复失均价承接、回封无量、后排弱、吉大等同层反卡则低预期。持仓依原退出计划处理，无持仓不低吸不追板。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禁止 证伪 数据缺口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CLOSED、公告方向矛盾未厘清、C快照未核、不可成交均禁止新增；未晋级/失空间代表性即证伪。撤单、均价、回封量、真正带动待盘中。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公告核验差异：16日17:54—17:55异动公告正文写15/16日“收盘价格跌幅偏离值累计达到23.61%”，与已核连续两日涨停的方向不一致。原文保留，需回查公司原始披露/更正，不自行改成涨幅，也不以公告替代行情。此项导致数据质量降级。</w:t>
      </w:r>
    </w:p>
    <w:p>
      <w:pPr>
        <w:pStyle w:val="Heading1"/>
        <w:pageBreakBefore/>
      </w:pPr>
      <w:r>
        <w:t>9 其他分支观察与盘中执行表</w:t>
      </w:r>
    </w:p>
    <w:p>
      <w:r>
        <w:rPr>
          <w:b w:val="0"/>
        </w:rPr>
        <w:t>H2九只及新H1均未核独立新/隐形空间T：模式T未设、无20日普通首次资格、叠加身份未确认；共同Hmax3、X/C/Y未知。19日风险下无获准超级先手。这里只作题材与已有持仓观察。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6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19日基准与20日观察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保隆 万丰 文灿 东安 长春</w:t>
              <w:br/>
              <w:t>汽零H2五只</w:t>
            </w:r>
          </w:p>
        </w:tc>
        <w:tc>
          <w:tcPr>
            <w:tcW w:type="dxa" w:w="76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保隆一字3.32亿，长春一字0.87亿；东安9:30、文灿9:30、万丰9:31零开。20日看是否有效换手、同竞争组分离与后排同步，不把一字排不到当补救理由。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京城 大业 甘化 海洋 H2</w:t>
            </w:r>
          </w:p>
        </w:tc>
        <w:tc>
          <w:tcPr>
            <w:tcW w:type="dxa" w:w="76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京城一字、海洋一字；大业13:36零开，甘化9:50末封1开。京城子公司立案旧风险、大业半年亏损及甘化19日晚异动均已纳入。20日不能只按封单排序买。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物理AI PCB 材料H1</w:t>
            </w:r>
          </w:p>
        </w:tc>
        <w:tc>
          <w:tcPr>
            <w:tcW w:type="dxa" w:w="76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能科/凡拓/索辰零开扩散；PCB协和/四会/澳弘多次回封；肯特/沃特材料不同支。缺上游身份与首次窗不发买点，20日核真正联动而非同涨。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上述对象超预期须从各自19日一字/烂板基准转为有效承接并带动同支；符合预期仅延续观察；低预期为封不稳、失承接或后排批量转弱。无持仓不新开，有持仓按原风险计划；停复牌、公告升级、数据不足与不可成交为禁止，均价/撤单/回封量待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92"/>
        <w:gridCol w:w="4320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信号出现怎么做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不出现怎么做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先查公告、停复牌、跌停名单与竞价量能。吉大/东方竞价强只强化观察；无持仓不新增，持仓低预期准备按原退出。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盘口不足不猜；不新开，持仓等待真实报价和可成交性。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观察两H3谁有效换手封板/回封及各支后排，先有上游再用弱转强/分离。无持仓不买，持仓按原计划。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只有高开或无量上冲不确认；持仓失承接按原风险处理，不追次强。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同步查汽零五H2、物理AI三首板、PCB和材料后排，封/炸/跟涨分开计。记录能科等预选是否继续带动。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前排独涨而后排退潮则取消完整延续假设；不新增，持仓不借反抽摊薄。</w:t>
            </w:r>
          </w:p>
        </w:tc>
      </w:tr>
      <w:tr>
        <w:trPr>
          <w:cantSplit/>
        </w:trPr>
        <w:tc>
          <w:tcPr>
            <w:tcW w:type="dxa" w:w="15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只记录可能新先手结构；风险权限、昨日C、唯一最高、老空间淘汰、振幅及主动封板须全齐。本次CLOSED不新增。</w:t>
            </w:r>
          </w:p>
        </w:tc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并列未分离、老空间强、剧震或数据缺失均不成立；持仓不追补。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停止新增超级先手，晚封只入收盘账本；持仓按既定退出和隔夜风险计划管理。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无修复记证伪，不新开；跌停无法成交如实记录，不虚构卖出。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10 三套剧本与有无持仓动作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880"/>
        <w:gridCol w:w="3024"/>
      </w:tblGrid>
      <w:tr>
        <w:trPr>
          <w:cantSplit/>
          <w:tblHeader/>
        </w:trPr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剧本及必要事实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无持仓动作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9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超预期：一致口径非ST跌停回个位数，百洋/阳光/东百等批量出现可核企稳，吉大/东方主动拓展，汽零与物理AI后排同步，创业板弱势缓和。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记录解除待核证据，不凭盘中局部改善直接恢复新仓；补齐上游空间、C和首次资格后再评估，不自行提高权限。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强势且承接有效者按原计划；个股低预期仍处理风险，不反抽追补摊薄。</w:t>
            </w:r>
          </w:p>
        </w:tc>
      </w:tr>
      <w:tr>
        <w:trPr>
          <w:cantSplit/>
        </w:trPr>
        <w:tc>
          <w:tcPr>
            <w:tcW w:type="dxa" w:w="432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符合预期：沪指稳而创业板弱、最高H3分歧，机器人/PCB局部修复但出版跌停未缓解；跌停与A杀未满足解除。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保持不主动新开；不因H2多或某票反包把退潮改成起势，不买不到高标就切后排。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按19日逐票基准管理；封不稳、均价承接失效或后排转弱按原退出，无法成交如实记。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低预期：两H3失败，汽零/物理AI后排批量核，冰山/新华继续走弱、出版A杀扩大，指数共振下行。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不抢冰点、不半路、不借首阴/压突绕过风险；继续空仓观察。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9"/>
              </w:rPr>
              <w:t>按原风险退出计划；跌停排队未成交不写成已清仓，后续可成交时继续处理。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最终新增仓位0来源于P0强控，不来自E1历史比例。母规则未编码某情绪状态仓位映射时，不自创“三成/五成”等数值。所有买/不买均是条件化策略，不承诺收益或能成交。</w:t>
      </w:r>
    </w:p>
    <w:p>
      <w:pPr>
        <w:pStyle w:val="Heading1"/>
        <w:pageBreakBefore/>
      </w:pPr>
      <w:r>
        <w:t>11 历史模式阶段与带队次日表现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752"/>
        <w:gridCol w:w="3456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16日观察或预选</w:t>
            </w:r>
          </w:p>
        </w:tc>
        <w:tc>
          <w:tcPr>
            <w:tcW w:type="dxa" w:w="47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19日开盘 收盘及后排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结果与20日后续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</w:t>
              <w:br/>
              <w:t>首次结构观察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低开7.01（-8.01%），高8.37未触板8.38，收7.80（+2.36%）断；福斯达-3%、晶雪-11.24%、大连跌停，大千虽+5.01%未板。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结构T16的19日T+1晋级证伪；低开后修复不是带队延续。20日仅持仓/趋势研究，不迁移普通首次窗。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 文轩 读者</w:t>
              <w:br/>
              <w:t>出版分支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新华开15.00收15.58（+2.77%）断；文轩开25.44收25.33跌停，读者开7.81收7.54跌停，出版/华媒/新经典/龙版同步跌停。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前排与后排均未续板，出版带队预选证伪；新华红盘只算个股承接，不等完整情绪延续。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万丰 保隆</w:t>
              <w:br/>
              <w:t>低空前排观察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万丰开10.89收10.90续H2；保隆一字32.33续H2；文灿/东安亦续，原宽组其余13未续。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前排继续涨停有效，后排分化；不能称17只原组完整延续。20日核H2分离与新首板。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长城601606</w:t>
              <w:br/>
              <w:t>军贸带队预选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高开34.11（+6.86%），收33.52（+5.01%）未续板；广东宏大未续，晨曦高开收+2.03%，新兴触板收+3.50%。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高开低走→带队预选失败/转弱。军工其他H2是不同细分，不能倒推原军贸延续。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 吉大</w:t>
              <w:br/>
              <w:t>低位分支</w:t>
            </w:r>
          </w:p>
        </w:tc>
        <w:tc>
          <w:tcPr>
            <w:tcW w:type="dxa" w:w="47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东方高开15.15→低13.60→封15.74；吉大一字24.19。尖峰开8.48收8.06（-8.30%），读者跌停。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两只个股晋级，19日新最高结构T另建；不是原有模式阶段自动升级。20日T+1待验证。</w:t>
            </w:r>
          </w:p>
        </w:tc>
      </w:tr>
      <w:tr>
        <w:trPr>
          <w:cantSplit/>
        </w:trPr>
        <w:tc>
          <w:tcPr>
            <w:tcW w:type="dxa" w:w="20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 PCB旧观察</w:t>
            </w:r>
          </w:p>
        </w:tc>
        <w:tc>
          <w:tcPr>
            <w:tcW w:type="dxa" w:w="47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慈文低开8.80（-5.68%）后14:51反包10.26；澳弘反包、四会/协和封，崇达-4.99%、金禄+0.24%。</w:t>
            </w:r>
          </w:p>
        </w:tc>
        <w:tc>
          <w:tcPr>
            <w:tcW w:type="dxa" w:w="34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个股反包并非原连续链恢复；旧PCB核心强弱分化。慈文短剧不替代出版后排，20日只作独立后续研究。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模式时钟独立维护</w:t>
      </w:r>
    </w:p>
    <w:p>
      <w:r>
        <w:rPr>
          <w:b w:val="0"/>
        </w:rPr>
        <w:t>T19新结构观察：20日T+1、21日T+2、22日T+3、23日T+4。只有上游身份/资格与后续条件满足才有对应操作，不因日历到了就买。T16冰山观察：19日T+1失败，20日T+2补救不成立；T13旧观察：19日T+4、20日T+5，不重置成新的T+1。</w:t>
      </w:r>
    </w:p>
    <w:p>
      <w:r>
        <w:rPr>
          <w:b w:val="0"/>
        </w:rPr>
        <w:t>空转趋只确定跟踪对象：冰山、慈文等须前置身份可追溯、主升未终结，再等弱转强/首阴/4K/6K；10日线、15日线或倒数第二涨停开盘价仅原文不同参考，不强行统一阈值。新华公告资格另审。</w:t>
      </w:r>
    </w:p>
    <w:p>
      <w:r>
        <w:rPr>
          <w:b w:val="0"/>
        </w:rPr>
        <w:t>20日表现尚未发生，能科/肯特等带队预选及吉大/东方结构统一待下一正式交易日验证。继续板且后排同步才认延续；高开低走记失败；低开闷杀记证伪；前排孤立涨停而后排退潮记抱团。</w:t>
      </w:r>
    </w:p>
    <w:p>
      <w:pPr>
        <w:pStyle w:val="Heading1"/>
        <w:pageBreakBefore/>
      </w:pPr>
      <w:r>
        <w:t>12 受控未知项 数据来源与风险提示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未知或差异</w:t>
            </w:r>
          </w:p>
        </w:tc>
        <w:tc>
          <w:tcPr>
            <w:tcW w:type="dxa" w:w="81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受控处理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有效主干 X C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未取得完整历史有效锚、上次X及规定淘汰链，保留UNKNOWN；Hmax3不代X。H3仅满足C制度下界，不声称完整资格已通过；不能靠公告H11或旧报告数值补齐。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Y及连续性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冰山T16的19日失败有事实，但上游正式广义资格待核；未计有效A，更无两个连续A/B。不凭普通高位全断猜Y或压几。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风险口径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19日东方财富22/腾讯剔ST后24，差郑州/龙版；16日10/11含北交1。均保留市场范围，不挑有利数字解除强控。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封板与指数差异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财联社未遂20、东方财富tc21但名单空、打板客未遂24；分母不混用。杰克板价收盘但未入池；指数平台小数差异单列，实时数据未核不倒推。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公告质量与时点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东方异动正文“跌幅偏离”方向与行情矛盾，需回查公司原文；大业/甘化名义落款20日但19日16:09/17:11已发布可用。只采实际制作时前公开内容。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实时项与理论参数</w:t>
            </w:r>
          </w:p>
        </w:tc>
        <w:tc>
          <w:tcPr>
            <w:tcW w:type="dxa" w:w="81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撤单、竞价量能、逐笔、均价、回封量、可成交及封单过程待20日确认。4K/6K量价/时点/失效参数需回查原文，不补造。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情绪材料边界</w:t>
            </w:r>
          </w:p>
        </w:tc>
        <w:tc>
          <w:tcPr>
            <w:tcW w:type="dxa" w:w="81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E1第12/13节正文及部分图缺失，阶段置信度中，不取历史仓位或天数创造参数。E2无新权限争议，本次未重复读。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材料版本与抓取时间</w:t>
      </w:r>
    </w:p>
    <w:p>
      <w:r>
        <w:rPr>
          <w:b w:val="0"/>
        </w:rPr>
        <w:t>本轮重新取得P0母规则v2（2026-09-09版，当前版本0）、P1版本0、P2版本1、E1版本0。规则按P0→P1→P2回查，E1单独解释环境；不公开私有原文、Prompt或脚本。</w:t>
      </w:r>
    </w:p>
    <w:p>
      <w:r>
        <w:rPr>
          <w:b w:val="0"/>
        </w:rPr>
        <w:t>本次材料、行情池、报价与公告均重新核验；数据记录时间：2026-10-19T17:33:17.943383+08:00。腾讯日字段均20261019，收盘更新时间约16:14—16:15；并非午间快照。补充公告及报价核到本报告制作时。定稿：2026-10-19 17:43 北京时间。</w:t>
      </w:r>
    </w:p>
    <w:p>
      <w:r>
        <w:rPr>
          <w:b w:val="0"/>
        </w:rPr>
        <w:t>主要数据来源见下一页，均保留名称、日期及链接。数据差异不作择优拼接；关键未知未消除前，观察对象不得升级为主动买点。</w:t>
      </w:r>
    </w:p>
    <w:p>
      <w:pPr>
        <w:pStyle w:val="Heading1"/>
        <w:pageBreakBefore/>
      </w:pPr>
      <w:r>
        <w:t>12 数据来源链接</w:t>
      </w:r>
    </w:p>
    <w:p>
      <w:pPr>
        <w:spacing w:after="20" w:line="240" w:lineRule="auto"/>
      </w:pPr>
      <w:hyperlink r:id="rId11">
        <w:r>
          <w:rPr>
            <w:color w:val="174A6C"/>
            <w:sz w:val="19"/>
          </w:rPr>
          <w:t>S1 上交所2026年全年休市安排</w:t>
        </w:r>
      </w:hyperlink>
    </w:p>
    <w:p>
      <w:pPr>
        <w:spacing w:after="20" w:line="240" w:lineRule="auto"/>
      </w:pPr>
      <w:hyperlink r:id="rId12">
        <w:r>
          <w:rPr>
            <w:color w:val="174A6C"/>
            <w:sz w:val="19"/>
          </w:rPr>
          <w:t>S1 上交所9月17日中秋国庆公告</w:t>
        </w:r>
      </w:hyperlink>
    </w:p>
    <w:p>
      <w:pPr>
        <w:spacing w:after="20" w:line="240" w:lineRule="auto"/>
      </w:pPr>
      <w:hyperlink r:id="rId13">
        <w:r>
          <w:rPr>
            <w:color w:val="174A6C"/>
            <w:sz w:val="19"/>
          </w:rPr>
          <w:t>S2 东方财富19日非ST涨停池46及严格H/封板字段</w:t>
        </w:r>
      </w:hyperlink>
    </w:p>
    <w:p>
      <w:pPr>
        <w:spacing w:after="20" w:line="240" w:lineRule="auto"/>
      </w:pPr>
      <w:hyperlink r:id="rId14">
        <w:r>
          <w:rPr>
            <w:color w:val="174A6C"/>
            <w:sz w:val="19"/>
          </w:rPr>
          <w:t>S2 东方财富19日非ST跌停22</w:t>
        </w:r>
      </w:hyperlink>
    </w:p>
    <w:p>
      <w:pPr>
        <w:spacing w:after="20" w:line="240" w:lineRule="auto"/>
      </w:pPr>
      <w:hyperlink r:id="rId15">
        <w:r>
          <w:rPr>
            <w:color w:val="174A6C"/>
            <w:sz w:val="19"/>
          </w:rPr>
          <w:t>S2 东方财富16日非ST跌停历史池重新读取</w:t>
        </w:r>
      </w:hyperlink>
    </w:p>
    <w:p>
      <w:pPr>
        <w:spacing w:after="20" w:line="240" w:lineRule="auto"/>
      </w:pPr>
      <w:hyperlink r:id="rId16">
        <w:r>
          <w:rPr>
            <w:color w:val="174A6C"/>
            <w:sz w:val="19"/>
          </w:rPr>
          <w:t>S3 腾讯财经指数及核心股直接收盘报价</w:t>
        </w:r>
      </w:hyperlink>
    </w:p>
    <w:p>
      <w:pPr>
        <w:spacing w:after="20" w:line="240" w:lineRule="auto"/>
      </w:pPr>
      <w:hyperlink r:id="rId17">
        <w:r>
          <w:rPr>
            <w:color w:val="174A6C"/>
            <w:sz w:val="19"/>
          </w:rPr>
          <w:t>S4 财联社19日15:10收盘涨停分析 46封11连</w:t>
        </w:r>
      </w:hyperlink>
    </w:p>
    <w:p>
      <w:pPr>
        <w:spacing w:after="20" w:line="240" w:lineRule="auto"/>
      </w:pPr>
      <w:hyperlink r:id="rId18">
        <w:r>
          <w:rPr>
            <w:color w:val="174A6C"/>
            <w:sz w:val="19"/>
          </w:rPr>
          <w:t>S4 财联社19日15:40连板分析 2/7晋级</w:t>
        </w:r>
      </w:hyperlink>
    </w:p>
    <w:p>
      <w:pPr>
        <w:spacing w:after="20" w:line="240" w:lineRule="auto"/>
      </w:pPr>
      <w:hyperlink r:id="rId19">
        <w:r>
          <w:rPr>
            <w:color w:val="174A6C"/>
            <w:sz w:val="19"/>
          </w:rPr>
          <w:t>S5 打板客19日收盘概览 分母与指数差异已注明</w:t>
        </w:r>
      </w:hyperlink>
    </w:p>
    <w:p>
      <w:pPr>
        <w:spacing w:after="20" w:line="240" w:lineRule="auto"/>
      </w:pPr>
      <w:hyperlink r:id="rId20">
        <w:r>
          <w:rPr>
            <w:color w:val="174A6C"/>
            <w:sz w:val="19"/>
          </w:rPr>
          <w:t>S5 打板客19日涨停明细及题材归属</w:t>
        </w:r>
      </w:hyperlink>
    </w:p>
    <w:p>
      <w:pPr>
        <w:spacing w:after="20" w:line="240" w:lineRule="auto"/>
      </w:pPr>
      <w:hyperlink r:id="rId21">
        <w:r>
          <w:rPr>
            <w:color w:val="174A6C"/>
            <w:sz w:val="19"/>
          </w:rPr>
          <w:t>S6 腾讯口径19日27跌停 含3只ST需剔除</w:t>
        </w:r>
      </w:hyperlink>
    </w:p>
    <w:p>
      <w:pPr>
        <w:spacing w:after="20" w:line="240" w:lineRule="auto"/>
      </w:pPr>
      <w:hyperlink r:id="rId22">
        <w:r>
          <w:rPr>
            <w:color w:val="174A6C"/>
            <w:sz w:val="19"/>
          </w:rPr>
          <w:t>S8 物理AI概念成分与3封名单</w:t>
        </w:r>
      </w:hyperlink>
    </w:p>
    <w:p>
      <w:pPr>
        <w:spacing w:after="20" w:line="240" w:lineRule="auto"/>
      </w:pPr>
      <w:hyperlink r:id="rId23">
        <w:r>
          <w:rPr>
            <w:color w:val="174A6C"/>
            <w:sz w:val="19"/>
          </w:rPr>
          <w:t>S8 人形机器人宽成分 不能等同全部同因上涨</w:t>
        </w:r>
      </w:hyperlink>
    </w:p>
    <w:p>
      <w:pPr>
        <w:spacing w:after="20" w:line="240" w:lineRule="auto"/>
      </w:pPr>
      <w:hyperlink r:id="rId24">
        <w:r>
          <w:rPr>
            <w:color w:val="174A6C"/>
            <w:sz w:val="19"/>
          </w:rPr>
          <w:t>S8 PEEK材料宽成分与2封名单</w:t>
        </w:r>
      </w:hyperlink>
    </w:p>
    <w:p>
      <w:r>
        <w:rPr>
          <w:b w:val="0"/>
        </w:rPr>
        <w:t>S7 公司公告正文/PDF 实际发布时间与名义落款分开</w:t>
      </w:r>
    </w:p>
    <w:p>
      <w:pPr>
        <w:spacing w:after="20" w:line="240" w:lineRule="auto"/>
      </w:pPr>
      <w:hyperlink r:id="rId25">
        <w:r>
          <w:rPr>
            <w:color w:val="174A6C"/>
            <w:sz w:val="19"/>
          </w:rPr>
          <w:t>吉大正元 异动及AI/抗量子/低空风险 18日15:32</w:t>
        </w:r>
      </w:hyperlink>
    </w:p>
    <w:p>
      <w:pPr>
        <w:spacing w:after="20" w:line="240" w:lineRule="auto"/>
      </w:pPr>
      <w:hyperlink r:id="rId26">
        <w:r>
          <w:rPr>
            <w:color w:val="174A6C"/>
            <w:sz w:val="19"/>
          </w:rPr>
          <w:t>东方嘉盛 异动公告 16日17:54 方向差异待核</w:t>
        </w:r>
      </w:hyperlink>
    </w:p>
    <w:p>
      <w:pPr>
        <w:spacing w:after="20" w:line="240" w:lineRule="auto"/>
      </w:pPr>
      <w:hyperlink r:id="rId27">
        <w:r>
          <w:rPr>
            <w:color w:val="174A6C"/>
            <w:sz w:val="19"/>
          </w:rPr>
          <w:t>冰山冷热 异动公告 18日15:31</w:t>
        </w:r>
      </w:hyperlink>
    </w:p>
    <w:p>
      <w:pPr>
        <w:spacing w:after="20" w:line="240" w:lineRule="auto"/>
      </w:pPr>
      <w:hyperlink r:id="rId28">
        <w:r>
          <w:rPr>
            <w:color w:val="174A6C"/>
            <w:sz w:val="19"/>
          </w:rPr>
          <w:t>新华传媒 风险提示 18日15:30</w:t>
        </w:r>
      </w:hyperlink>
    </w:p>
    <w:p>
      <w:pPr>
        <w:spacing w:after="20" w:line="240" w:lineRule="auto"/>
      </w:pPr>
      <w:hyperlink r:id="rId29">
        <w:r>
          <w:rPr>
            <w:color w:val="174A6C"/>
            <w:sz w:val="19"/>
          </w:rPr>
          <w:t>新华传媒 重组进展 18日15:30</w:t>
        </w:r>
      </w:hyperlink>
    </w:p>
    <w:p>
      <w:pPr>
        <w:spacing w:after="20" w:line="240" w:lineRule="auto"/>
      </w:pPr>
      <w:hyperlink r:id="rId30">
        <w:r>
          <w:rPr>
            <w:color w:val="174A6C"/>
            <w:sz w:val="19"/>
          </w:rPr>
          <w:t>大业股份 异动及亏损风险 19日16:09</w:t>
        </w:r>
      </w:hyperlink>
    </w:p>
    <w:p>
      <w:pPr>
        <w:spacing w:after="20" w:line="240" w:lineRule="auto"/>
      </w:pPr>
      <w:hyperlink r:id="rId31">
        <w:r>
          <w:rPr>
            <w:color w:val="174A6C"/>
            <w:sz w:val="19"/>
          </w:rPr>
          <w:t>甘化科工 异动公告 19日17:11</w:t>
        </w:r>
      </w:hyperlink>
    </w:p>
    <w:p>
      <w:pPr>
        <w:spacing w:after="20" w:line="240" w:lineRule="auto"/>
      </w:pPr>
      <w:hyperlink r:id="rId32">
        <w:r>
          <w:rPr>
            <w:color w:val="174A6C"/>
            <w:sz w:val="19"/>
          </w:rPr>
          <w:t>京城股份 控股子公司立案旧风险 9月18日</w:t>
        </w:r>
      </w:hyperlink>
    </w:p>
    <w:p>
      <w:pPr>
        <w:spacing w:after="20" w:line="240" w:lineRule="auto"/>
      </w:pPr>
      <w:hyperlink r:id="rId33">
        <w:r>
          <w:rPr>
            <w:color w:val="174A6C"/>
            <w:sz w:val="19"/>
          </w:rPr>
          <w:t>新华文轩 风险提示 16日17:00</w:t>
        </w:r>
      </w:hyperlink>
    </w:p>
    <w:p>
      <w:pPr>
        <w:spacing w:after="20" w:line="240" w:lineRule="auto"/>
      </w:pPr>
      <w:hyperlink r:id="rId34">
        <w:r>
          <w:rPr>
            <w:color w:val="174A6C"/>
            <w:sz w:val="19"/>
          </w:rPr>
          <w:t>慈文传媒 短剧及AIGC风险 14日21:37</w:t>
        </w:r>
      </w:hyperlink>
    </w:p>
    <w:p>
      <w:r>
        <w:rPr>
          <w:b w:val="0"/>
        </w:rPr>
        <w:t>指数、题材与模式身份均不保证后续走势；盘前须再次核验公告及交易状态，实际执行须服从风险、盘口、成交和个人承受能力。</w:t>
      </w:r>
    </w:p>
    <w:p>
      <w:r>
        <w:rPr>
          <w:b/>
        </w:rPr>
        <w:t>仅用于整理用户私有交易理论，不构成投资建议。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2026年10月20日  |  基于10月19日收盘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www.sse.com.cn/disclosure/announcement/general/c/c_20260915_10832273.s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19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19" TargetMode="External"/><Relationship Id="rId15" Type="http://schemas.openxmlformats.org/officeDocument/2006/relationships/hyperlink" Target="https://push2ex.eastmoney.com/getTopicDTPool?ut=7eea3edcaed734bea9cbfc24409ed989&amp;dpt=wz.ztzt&amp;Pageindex=0&amp;pagesize=1000&amp;sort=fund%3Aasc&amp;date=20261016" TargetMode="External"/><Relationship Id="rId16" Type="http://schemas.openxmlformats.org/officeDocument/2006/relationships/hyperlink" Target="https://qt.gtimg.cn/q=sh000001,sz399001,sz399006,sz003029,sz002889,sz000530,sh600825,sh601811,sh600121,sh605577,sh603337" TargetMode="External"/><Relationship Id="rId17" Type="http://schemas.openxmlformats.org/officeDocument/2006/relationships/hyperlink" Target="https://www.cls.cn/detail/2508351" TargetMode="External"/><Relationship Id="rId18" Type="http://schemas.openxmlformats.org/officeDocument/2006/relationships/hyperlink" Target="https://api3.cls.cn/share/article/2508457?app=&amp;os=android&amp;sv=869" TargetMode="External"/><Relationship Id="rId19" Type="http://schemas.openxmlformats.org/officeDocument/2006/relationships/hyperlink" Target="https://www.dabanke.com/fpb.html" TargetMode="External"/><Relationship Id="rId20" Type="http://schemas.openxmlformats.org/officeDocument/2006/relationships/hyperlink" Target="https://www.dabanke.com/ztgc.html" TargetMode="External"/><Relationship Id="rId21" Type="http://schemas.openxmlformats.org/officeDocument/2006/relationships/hyperlink" Target="https://stockinsky.com/limit-down" TargetMode="External"/><Relationship Id="rId22" Type="http://schemas.openxmlformats.org/officeDocument/2006/relationships/hyperlink" Target="https://www.dabanke.com/gn.html?date=20261019&amp;name=&#29289;&#29702;AI" TargetMode="External"/><Relationship Id="rId23" Type="http://schemas.openxmlformats.org/officeDocument/2006/relationships/hyperlink" Target="https://www.dabanke.com/gn.html?date=20261019&amp;name=&#20154;&#24418;&#26426;&#22120;&#20154;" TargetMode="External"/><Relationship Id="rId24" Type="http://schemas.openxmlformats.org/officeDocument/2006/relationships/hyperlink" Target="https://www.dabanke.com/gn.html?date=20261019&amp;name=PEEK&#26448;&#26009;" TargetMode="External"/><Relationship Id="rId25" Type="http://schemas.openxmlformats.org/officeDocument/2006/relationships/hyperlink" Target="https://pdf.dfcfw.com/pdf/H2_AN202610181830660042_1.pdf?1792337596000.pdf" TargetMode="External"/><Relationship Id="rId26" Type="http://schemas.openxmlformats.org/officeDocument/2006/relationships/hyperlink" Target="https://pdf.dfcfw.com/pdf/H2_AN202610161830618206_1.pdf?1792173366000.pdf" TargetMode="External"/><Relationship Id="rId27" Type="http://schemas.openxmlformats.org/officeDocument/2006/relationships/hyperlink" Target="https://pdf.dfcfw.com/pdf/H2_AN202610181830660022_1.pdf?1792337542000.pdf" TargetMode="External"/><Relationship Id="rId28" Type="http://schemas.openxmlformats.org/officeDocument/2006/relationships/hyperlink" Target="https://pdf.dfcfw.com/pdf/H2_AN202610181830659957_1.pdf?1792337567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91830682073_1.pdf?1792426230000.pdf" TargetMode="External"/><Relationship Id="rId31" Type="http://schemas.openxmlformats.org/officeDocument/2006/relationships/hyperlink" Target="https://pdf.dfcfw.com/pdf/H2_AN202610191830685509_1.pdf?1792429987000.pdf" TargetMode="External"/><Relationship Id="rId32" Type="http://schemas.openxmlformats.org/officeDocument/2006/relationships/hyperlink" Target="https://pdf.dfcfw.com/pdf/H2_AN202609181829620271_1.pdf?1789754438000.pdf" TargetMode="External"/><Relationship Id="rId33" Type="http://schemas.openxmlformats.org/officeDocument/2006/relationships/hyperlink" Target="https://pdf.dfcfw.com/pdf/H2_AN202610161830614535_1.pdf?1792170023000.pdf" TargetMode="External"/><Relationship Id="rId34" Type="http://schemas.openxmlformats.org/officeDocument/2006/relationships/hyperlink" Target="https://pdf.dfcfw.com/pdf/H2_AN202610141830470870_1.pdf?1792013842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2026-10-20 A股盘前策略</dc:title>
  <dc:subject>基于2026-10-19完整收盘的条件化策略</dc:subject>
  <dc:creator/>
  <cp:keywords>2026-10-20;CLOSED;AVOID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