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2026年10月22日 A股盘前策略</w:t>
      </w:r>
    </w:p>
    <w:p>
      <w:pPr>
        <w:pStyle w:val="Heading1"/>
      </w:pPr>
      <w:r>
        <w:t>1 首页执行结论</w:t>
      </w:r>
    </w:p>
    <w:p>
      <w:r>
        <w:t>实际制作时间：2026-10-22 00:53 北京时间</w:t>
        <w:br/>
        <w:t>收盘基准日：2026年10月21日　目标交易日：2026年10月22日</w:t>
      </w:r>
    </w:p>
    <w:p>
      <w:r>
        <w:t>本报告补做10月21日17:30漏跑任务。没有合格主动新开仓候选。三只4板成为新最高结构观察组，但C与有效主干未核齐，且强控未解除；不能把“最高板”直接当成获准买入的空间龙。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10月22日结论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P0风险闸门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CLOSED。16日和19日非ST跌停分别10、22只，连续两日触发强控；20日6只、21日5只虽回个位数，旧高位修复仍不均衡。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情绪环境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CAUTION。中周期假设为退潮后修复反复；小周期为低位轮动、旧高位分化。置信度中低。支持收缩：指数回落及多只高标大跌；反证：50封板、16连板，三只4板延续。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确认合格首次对象：无。东安、大业、海洋王仅为T21结构观察组，尚不能确认广义身份及通过C；润建H3不是新最高。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买点及P0仓位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无获准主动买点，新增仓位0。该结论来自CLOSED，不由情绪单独决定。母规则未编码CAUTION独立仓位百分比。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无持仓只观察；有持仓依原退出计划与真实承接管理，不补亏损仓、不因低开反抽或板块上涨自动加仓。</w:t>
            </w:r>
          </w:p>
        </w:tc>
      </w:tr>
    </w:tbl>
    <w:p>
      <w:pPr>
        <w:spacing w:after="0"/>
      </w:pPr>
    </w:p>
    <w:p>
      <w:r>
        <w:t>Hmax=4：东安动力600178、大业股份603278、海洋王002724；核心H：润建3，吉大断板，九阳与百洋严格2。X=UNKNOWN，C=UNKNOWN，Y=UNKNOWN。X≠C≠Y。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第一次操作或验证对象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8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合格首次常规对象</w:t>
            </w:r>
          </w:p>
        </w:tc>
        <w:tc>
          <w:tcPr>
            <w:tcW w:type="dxa" w:w="73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无。三只H4仅观察潜在新空间，明日可验证预期，不能视为获准首次买点。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22日新超级先手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仅条件预案；风险或上一收盘C仍未知时，只看不买。</w:t>
            </w:r>
          </w:p>
        </w:tc>
      </w:tr>
    </w:tbl>
    <w:p>
      <w:pPr>
        <w:spacing w:after="0"/>
      </w:pPr>
    </w:p>
    <w:p>
      <w:r>
        <w:t>主流观察分支：端侧AI、机器人、数据服务、传媒修复。均无已确认主带队票；同日封板不等于因果带动。仅作用户交易规则的条件化整理。</w:t>
      </w:r>
    </w:p>
    <w:p>
      <w:r>
        <w:br w:type="page"/>
      </w:r>
    </w:p>
    <w:p>
      <w:pPr>
        <w:pStyle w:val="Heading1"/>
      </w:pPr>
      <w:r>
        <w:t>2 日期 风险总闸门与情绪环境</w:t>
      </w:r>
    </w:p>
    <w:p>
      <w:r>
        <w:t>21日周三为已收盘正式交易日，22日周四为下一正式交易日。交易所2026年国庆休市安排为1—7日休市、8日起开市，21—22日不在休市范围。[S1] 本次按用户明确要求跨午夜补做，不使用22日尚未发生的行情。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13"/>
        <w:gridCol w:w="8611"/>
      </w:tblGrid>
      <w:tr>
        <w:trPr>
          <w:cantSplit/>
          <w:tblHeader/>
        </w:trPr>
        <w:tc>
          <w:tcPr>
            <w:tcW w:type="dxa" w:w="1613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611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重新取数及处理</w:t>
            </w:r>
          </w:p>
        </w:tc>
      </w:tr>
      <w:tr>
        <w:trPr>
          <w:cantSplit/>
        </w:trPr>
        <w:tc>
          <w:tcPr>
            <w:tcW w:type="dxa" w:w="1613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强控起点</w:t>
            </w:r>
          </w:p>
        </w:tc>
        <w:tc>
          <w:tcPr>
            <w:tcW w:type="dxa" w:w="8611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东方财富历史跌停池16日10只、19日22只；名称过滤未见ST。16日含北交所莫森泰克920162，口径为可得全A池。该口径与原母规则全A风险统计相容，不擅自改为仅沪深。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最近两日跌停</w:t>
            </w:r>
          </w:p>
        </w:tc>
        <w:tc>
          <w:tcPr>
            <w:tcW w:type="dxa" w:w="861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20日6只；21日5只：盐津铺子002847、吉华集团603980、时代万恒600241、上海洗霸603200、锦龙股份000712。21日均沪深非ST，不混入盘中触跌停未封股。</w:t>
            </w:r>
          </w:p>
        </w:tc>
      </w:tr>
      <w:tr>
        <w:trPr>
          <w:cantSplit/>
        </w:trPr>
        <w:tc>
          <w:tcPr>
            <w:tcW w:type="dxa" w:w="1613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恢复评估</w:t>
            </w:r>
          </w:p>
        </w:tc>
        <w:tc>
          <w:tcPr>
            <w:tcW w:type="dxa" w:w="8611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读者传媒由前两日连续跌停转为+10.01%，冰山冷热+5.63%是反证；但新华文轩-1.70%、东方嘉盛-5.85%、京城-7.52%、长春一东-8.98%、时代万恒跌停。尚不能确认近期连续A杀标的已批量企稳反抽。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高位负反馈</w:t>
            </w:r>
          </w:p>
        </w:tc>
        <w:tc>
          <w:tcPr>
            <w:tcW w:type="dxa" w:w="861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原H4吉大正元断板-3.57%；五只原H3仅东安、大业、海洋王晋级，京城、长春一东失败。不能因三只晋级忽略另两只大幅回撤。</w:t>
            </w:r>
          </w:p>
        </w:tc>
      </w:tr>
      <w:tr>
        <w:trPr>
          <w:cantSplit/>
        </w:trPr>
        <w:tc>
          <w:tcPr>
            <w:tcW w:type="dxa" w:w="1613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警戒针</w:t>
            </w:r>
          </w:p>
        </w:tc>
        <w:tc>
          <w:tcPr>
            <w:tcW w:type="dxa" w:w="8611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昨日非ST连板指数连续两日≤-1%的精确指数序列未取得。既不认定已触发，也不用晋级率、红盘率或涨停数量代替。</w:t>
            </w:r>
          </w:p>
        </w:tc>
      </w:tr>
      <w:tr>
        <w:trPr>
          <w:cantSplit/>
        </w:trPr>
        <w:tc>
          <w:tcPr>
            <w:tcW w:type="dxa" w:w="1613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公告与停复牌</w:t>
            </w:r>
          </w:p>
        </w:tc>
        <w:tc>
          <w:tcPr>
            <w:tcW w:type="dxa" w:w="8611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核心股21日均有有效成交。22日全量临时停复牌清单及新增监管事项未完全核齐，盘前复核；未核前不预授交易资格。润建22日除息见第9章。</w:t>
            </w:r>
          </w:p>
        </w:tc>
      </w:tr>
    </w:tbl>
    <w:p>
      <w:pPr>
        <w:spacing w:after="0"/>
      </w:pPr>
    </w:p>
    <w:p>
      <w:pPr>
        <w:pStyle w:val="Heading2"/>
      </w:pPr>
      <w:r>
        <w:t>情绪只作辅助约束</w:t>
      </w:r>
    </w:p>
    <w:p>
      <w:r>
        <w:t>指数状态：沪指3713.03（-0.60%），深成指11704.35（-0.82%），创业板2694.71（-1.62%）。沪指开3740.57、高3743.08、低3703.12，收盘低于开盘。[S2] 短线50封板、16连板，但高位淘汰票亏损较大，属于指数走弱与局部连板抱团并存，不确认全面修复。[S3]</w:t>
      </w:r>
    </w:p>
    <w:p>
      <w:r>
        <w:t>中周期：退潮后的修复反复；小周期：低位轮动与高位分化。主要支持证据为旧高位断板与指数下跌，反证为新4板组和传媒修复。待确认：旧高位连续止跌、核心向上拓展且后排同步、跌停及连续A杀同时改善。置信度中低，许可CAUTION，不能解除CLOSED。</w:t>
      </w:r>
    </w:p>
    <w:p>
      <w:r>
        <w:t>E1依据第3、7、21、22、25—26节的分歧、反抽及指数与赚钱效应关系；第12/13节与部分图示存在缺口，情绪依据不足处保留。模式T+1与情绪阶段分开，不采用历史仓位比例。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2952"/>
        <w:gridCol w:w="6336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9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21日更新</w:t>
            </w:r>
          </w:p>
        </w:tc>
        <w:tc>
          <w:tcPr>
            <w:tcW w:type="dxa" w:w="63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29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4：东安、大业、海洋王</w:t>
            </w:r>
          </w:p>
        </w:tc>
        <w:tc>
          <w:tcPr>
            <w:tcW w:type="dxa" w:w="63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三只均连续16、19、20、21日涨停；公告/一字只加标记，不从客观最高高度剔除。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3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上一有效空间楼的身份、逐次继承与全淘汰链不全。吉大断板不等于X自动变4或3。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9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3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clamp(X−3,3,5)。H4仅当有效C≥4时通过高度过滤；不能由H4倒填C=4。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29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3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未取得两个连续有效A/B来源，不用吉大、京城等普通失败凑压制信号。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29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4板3只 3板1只 2板12只 首板34只</w:t>
            </w:r>
          </w:p>
        </w:tc>
        <w:tc>
          <w:tcPr>
            <w:tcW w:type="dxa" w:w="63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合计50只。九阳13天8板、百洋9天7板均严格H2；读者5天3板严格H1，不能按累计板数争高。</w:t>
            </w:r>
          </w:p>
        </w:tc>
      </w:tr>
    </w:tbl>
    <w:p>
      <w:pPr>
        <w:spacing w:after="0"/>
      </w:pPr>
    </w:p>
    <w:p>
      <w:r>
        <w:t>X≠C≠Y。22日盘中超级先手只能使用21日收盘已生效C快照；当前快照仍未知，不能在盘中假定重置后C=3或用新事件追溯修改。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968"/>
        <w:gridCol w:w="3168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具体事件</w:t>
            </w:r>
          </w:p>
        </w:tc>
        <w:tc>
          <w:tcPr>
            <w:tcW w:type="dxa" w:w="49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事实及来源账本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16日冰山结构观察T</w:t>
            </w:r>
          </w:p>
        </w:tc>
        <w:tc>
          <w:tcPr>
            <w:tcW w:type="dxa" w:w="49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19日断板，但上游有效广义身份未核齐；21日反抽不封板。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A候选待核，不能认定有效压制。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19日吉大 东方结构观察T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20日吉大晋级、东方失败，同组未全灭；21日吉大再断。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20日不是A；21日是该组T+2日期，不是T+1全灭。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20日普通晋级组</w:t>
            </w:r>
          </w:p>
        </w:tc>
        <w:tc>
          <w:tcPr>
            <w:tcW w:type="dxa" w:w="49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5只H3于21日3胜2败；8只H2仅润建晋级H3。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普通组不自动成为有效T+2组；不构造B。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21日新最高结构组</w:t>
            </w:r>
          </w:p>
        </w:tc>
        <w:tc>
          <w:tcPr>
            <w:tcW w:type="dxa" w:w="49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原唯一H4吉大退出，三只H4并列；润建H3紧邻。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潜在T21新空间，H≤C、公告资格、实际代表性尚待核。无至少两层断档。</w:t>
            </w:r>
          </w:p>
        </w:tc>
      </w:tr>
    </w:tbl>
    <w:p>
      <w:pPr>
        <w:spacing w:after="0"/>
      </w:pPr>
    </w:p>
    <w:p>
      <w:pPr>
        <w:pStyle w:val="Heading2"/>
      </w:pPr>
      <w:r>
        <w:t>控怪与压突单独记录</w:t>
      </w:r>
    </w:p>
    <w:p>
      <w:r>
        <w:t>可见非公告观察高度由15日5→16日4→19日3→20日4→21日4；此为历史结构观察，不是已恢复的有效主干。两次各降一层的连续压缩之后出现回升和平移，但前一空中飘身份、淘汰后反馈与有效轮次未证，不能确认控怪。</w:t>
      </w:r>
    </w:p>
    <w:p>
      <w:r>
        <w:t>压突来源最近两项均未达到有效性与连续性门槛：16日观察组身份未齐；19日观察组20日未全灭。21日失败不能补成第二个信号。Y未知则屋顶下、摸顶、突破全部待核；任何有效突破仍受CLOSED否决。</w:t>
      </w:r>
    </w:p>
    <w:p>
      <w:r>
        <w:br w:type="page"/>
      </w:r>
    </w:p>
    <w:p>
      <w:pPr>
        <w:pStyle w:val="Heading1"/>
      </w:pPr>
      <w:r>
        <w:t>4 10月22日第一次操作或验证对象</w:t>
      </w:r>
    </w:p>
    <w:p>
      <w:r>
        <w:t>无合格新开仓候选。观察名单不等于买入名单；下列三只只验证潜在T21结构预期，C与身份链未补齐前不能称为已确认首次常规窗口。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5"/>
        <w:gridCol w:w="4320"/>
        <w:gridCol w:w="3859"/>
      </w:tblGrid>
      <w:tr>
        <w:trPr>
          <w:cantSplit/>
          <w:tblHeader/>
        </w:trPr>
        <w:tc>
          <w:tcPr>
            <w:tcW w:type="dxa" w:w="2045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日期与首次窗口</w:t>
            </w:r>
          </w:p>
        </w:tc>
        <w:tc>
          <w:tcPr>
            <w:tcW w:type="dxa" w:w="3859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22日处理</w:t>
            </w:r>
          </w:p>
        </w:tc>
      </w:tr>
      <w:tr>
        <w:trPr>
          <w:cantSplit/>
        </w:trPr>
        <w:tc>
          <w:tcPr>
            <w:tcW w:type="dxa" w:w="2045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东安动力600178 H4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潜在结构T=10/21，22日为T+1日期；20日一字、21日开板，尚非已确认两日有效高位换手。</w:t>
            </w:r>
          </w:p>
        </w:tc>
        <w:tc>
          <w:tcPr>
            <w:tcW w:type="dxa" w:w="3859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只观察是否主动胜出且后排跟随；C不明、风险未解除，禁止主动新开。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大业股份603278 H4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潜在T21；20/21日连续纯一字。第二次有效高位换手未成立，公告票/起手一字分类仍须核。</w:t>
            </w:r>
          </w:p>
        </w:tc>
        <w:tc>
          <w:tcPr>
            <w:tcW w:type="dxa" w:w="3859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不预设开板即资格恢复，不排单赌成交；高开回落为失败证据。</w:t>
            </w:r>
          </w:p>
        </w:tc>
      </w:tr>
      <w:tr>
        <w:trPr>
          <w:cantSplit/>
        </w:trPr>
        <w:tc>
          <w:tcPr>
            <w:tcW w:type="dxa" w:w="2045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 H4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潜在T21；21日纯一字，20日有换手。C及隐形空间证据不足。</w:t>
            </w:r>
          </w:p>
        </w:tc>
        <w:tc>
          <w:tcPr>
            <w:tcW w:type="dxa" w:w="3859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只观察；AI照明规模有限，不能并入核电、深海科技凑跟风。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润建股份002929 H3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普通2进3成功，不是新最高；不得指定模式T21。22日除息。</w:t>
            </w:r>
          </w:p>
        </w:tc>
        <w:tc>
          <w:tcPr>
            <w:tcW w:type="dxa" w:w="3859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端侧/算力分支验证，不占首页首次买点；涨跌幅以官方除息参考价核算。</w:t>
            </w:r>
          </w:p>
        </w:tc>
      </w:tr>
      <w:tr>
        <w:trPr>
          <w:cantSplit/>
        </w:trPr>
        <w:tc>
          <w:tcPr>
            <w:tcW w:type="dxa" w:w="2045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新超级先手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22日盘中新形成独一份最高有效空间且全过滤通过才有候选资格。</w:t>
            </w:r>
          </w:p>
        </w:tc>
        <w:tc>
          <w:tcPr>
            <w:tcW w:type="dxa" w:w="3859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仅预案；并列未分离、闸门关闭或C未知，无信号可执行。</w:t>
            </w:r>
          </w:p>
        </w:tc>
      </w:tr>
    </w:tbl>
    <w:p>
      <w:pPr>
        <w:spacing w:after="0"/>
      </w:pPr>
    </w:p>
    <w:p>
      <w:pPr>
        <w:pStyle w:val="Heading2"/>
      </w:pPr>
      <w:r>
        <w:t>首次窗口与后续观察分流</w:t>
      </w:r>
    </w:p>
    <w:p>
      <w:r>
        <w:t>吉大正元结构观察T19，首次常规T+1=20日已结束；22日为T+3日期。21日断板，不能因22日反包重新命名为T+1或追认T+2成功。东方嘉盛结构观察同为T19，20日即失败，21日继续下跌，不能因首阴形态进入主动抄底。</w:t>
      </w:r>
    </w:p>
    <w:p>
      <w:r>
        <w:t>新华传媒公告/复牌连续一字背景继续特殊处理。21日+6.45%仍未封板，断板后多个成交日不等于恢复有效锚定。公告空接龙需两日被体系认可的高位有效换手与其余条件；不自设换手率阈值，不给22日恢复资格。</w:t>
      </w:r>
    </w:p>
    <w:p>
      <w:pPr>
        <w:pStyle w:val="Heading2"/>
      </w:pPr>
      <w:r>
        <w:t>实际执行权限</w:t>
      </w:r>
    </w:p>
    <w:p>
      <w:r>
        <w:t>风险CLOSED与核心数据未齐是两个独立否决项。即使明日某票高开、秒板或弱转强，也不自动解决上游身份和C问题。无持仓保持观察；已有仓位只按原计划与真实可成交性管理，避免把报告的观察对象理解为加仓指令。</w:t>
      </w:r>
    </w:p>
    <w:p>
      <w:r>
        <w:br w:type="page"/>
      </w:r>
    </w:p>
    <w:p>
      <w:pPr>
        <w:pStyle w:val="Heading1"/>
      </w:pPr>
      <w:r>
        <w:t>5 今天超级先手结果与明天常规节点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3168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分池</w:t>
            </w:r>
          </w:p>
        </w:tc>
        <w:tc>
          <w:tcPr>
            <w:tcW w:type="dxa" w:w="52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21日回看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22日权限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今天盘中超级先手</w:t>
            </w:r>
          </w:p>
        </w:tc>
        <w:tc>
          <w:tcPr>
            <w:tcW w:type="dxa" w:w="52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无合格可执行对象，CLOSED先否决。三只H4并列，盘中逐时唯一性、老空间淘汰时刻及先手C快照不全。三只最终封板时间均在上午，不能倒推出下午买点。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历史复盘用途，不写成明日新开仓信号。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空接断板龙先手</w:t>
            </w:r>
          </w:p>
        </w:tc>
        <w:tc>
          <w:tcPr>
            <w:tcW w:type="dxa" w:w="52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H4/H3邻接，无至少两层缺口；上方被动空间、下方隐形空间逐级上位未获证明。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无确认对象。不能把吉大断板后的所有H3/H4都称先手。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收盘形成明日常规</w:t>
            </w:r>
          </w:p>
        </w:tc>
        <w:tc>
          <w:tcPr>
            <w:tcW w:type="dxa" w:w="52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三只H4仅有望成为新空间结构，完整身份未证；无已确认合格广义锚或正式断板龙。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首页保持无合格首次对象，结构观察与常规买点分开。</w:t>
            </w:r>
          </w:p>
        </w:tc>
      </w:tr>
    </w:tbl>
    <w:p>
      <w:pPr>
        <w:spacing w:after="0"/>
      </w:pPr>
    </w:p>
    <w:p>
      <w:pPr>
        <w:pStyle w:val="Heading2"/>
      </w:pPr>
      <w:r>
        <w:t>22日盘中待触发超级先手条件</w:t>
      </w:r>
    </w:p>
    <w:p>
      <w:r>
        <w:t>前提：强控评估解除并完成风险关键项核验，取得21日有效C快照，候选H≤C及公告/一字过滤通过。任一项不明即停止到买点层，不以盘中强势替代。</w:t>
      </w:r>
    </w:p>
    <w:p>
      <w:r>
        <w:t>常规13:30—14:35：当时独一份最高有效空间，老空间继续连板预期极低，题材联动与主动封板或回封成立。10cm日内振幅≤9.99个百分点、20cm≤19.99个百分点，只认打板或回封确认。提前低吸、主观半路、并列未分离、分时剧震、不可成交均禁止，14:35以后不新增。</w:t>
      </w:r>
    </w:p>
    <w:p>
      <w:r>
        <w:t>特殊前置：只有老空间开盘后快速到跌停且淘汰基本确认，才可提前逐级筛选同层唯一至强者；仍要风险、C、盘口和可成交完整。21日吉大最低25.55相对前收26.61远未到跌停，不能借其断板结果声称此前触发该特殊情形。</w:t>
      </w:r>
    </w:p>
    <w:p>
      <w:pPr>
        <w:pStyle w:val="Heading2"/>
      </w:pPr>
      <w:r>
        <w:t>本次能核验与不能核验的盘口</w:t>
      </w:r>
    </w:p>
    <w:p>
      <w:r>
        <w:t>东方财富提供首触板、末封板与开板次数，腾讯提供日线开高低收；它们不能证明某一分钟的竞价撤单、主动大单、分时均价承接、回封量和独一份地位。因此本次不追认任何21日先手买点，也不把收盘封单金额当作全天封单最稳。</w:t>
      </w:r>
    </w:p>
    <w:p>
      <w:r>
        <w:br w:type="page"/>
      </w:r>
    </w:p>
    <w:p>
      <w:pPr>
        <w:pStyle w:val="Heading1"/>
      </w:pPr>
      <w:r>
        <w:t>6 T日有望成为预选池与逐票淘汰</w:t>
      </w:r>
    </w:p>
    <w:p>
      <w:r>
        <w:t>21日正式合格预选池为空。结构观察组为东安、大业、海洋王；只保留“潜在T21新空间”预期，不确认自然空接、控怪或空中飘最终身份。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528"/>
        <w:gridCol w:w="4536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扫描对象</w:t>
            </w:r>
          </w:p>
        </w:tc>
        <w:tc>
          <w:tcPr>
            <w:tcW w:type="dxa" w:w="35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身份与高度过滤</w:t>
            </w:r>
          </w:p>
        </w:tc>
        <w:tc>
          <w:tcPr>
            <w:tcW w:type="dxa" w:w="45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排除或分流原因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东安600178 H4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新并列最高结构；H4对C未知。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公告风险、前日一字而今日开板不足两日换手、板块带动未完整核实；风险CLOSED。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大业603278 H4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新并列最高结构；H4对C未知。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连续一字且收益业务澄清；不因封单大或名称含“业”凑概念；公告/一字资格待核。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海洋王002724 H4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新并列最高结构；H4对C未知。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今日一字，照明同组不足完整梯队；AI收入有限，晚间澄清核电/深海标签，见附加公告。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润建002929 H3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H3≤所有合法C下限，仅通过高度可能性。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不是新最高，无已证隐形空间；普通晋级不能创造广义身份，除息日参考价需复核。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12只H2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全池见第12章清单，H2不是自动空间锚。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无已确认T+2上游与客观无法上车前提；不因低位放宽身份。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34只首板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含传媒、数据、医药等轮动。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封首板不构成当前空间锚；反包不累计连板，低位题材不直接转入首页买点。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东方 京城 长春一东</w:t>
            </w:r>
          </w:p>
        </w:tc>
        <w:tc>
          <w:tcPr>
            <w:tcW w:type="dxa" w:w="35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均已断板，不保留原严格连板H。</w:t>
            </w:r>
          </w:p>
        </w:tc>
        <w:tc>
          <w:tcPr>
            <w:tcW w:type="dxa" w:w="45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历史或持仓管理；不因低价、首阴、下跌多而重开首次窗口。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凡拓 福莱 能科 新华传媒</w:t>
            </w:r>
          </w:p>
        </w:tc>
        <w:tc>
          <w:tcPr>
            <w:tcW w:type="dxa" w:w="35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凡拓涨未板；福莱触板炸板；能科/新华涨未板。</w:t>
            </w:r>
          </w:p>
        </w:tc>
        <w:tc>
          <w:tcPr>
            <w:tcW w:type="dxa" w:w="45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分支验证或趋势观察，不给有效龙头/补救身份；可成交不等于低风险。</w:t>
            </w:r>
          </w:p>
        </w:tc>
      </w:tr>
    </w:tbl>
    <w:p>
      <w:pPr>
        <w:spacing w:after="0"/>
      </w:pPr>
    </w:p>
    <w:p>
      <w:pPr>
        <w:pStyle w:val="Heading2"/>
      </w:pPr>
      <w:r>
        <w:t>特殊分类处理</w:t>
      </w:r>
    </w:p>
    <w:p>
      <w:r>
        <w:t>21日海洋王和大业开高低收相同，是当日纯一字；东安有开板，不能同列为全天纯一字。异动公告不等于公告驱动的起手连续一字，须分别核因果与起手记录。所有核心22日停复牌、监管及新增公告仍需盘前核验；未知不当作“无风险”。</w:t>
      </w:r>
    </w:p>
    <w:p>
      <w:r>
        <w:br w:type="page"/>
      </w:r>
    </w:p>
    <w:p>
      <w:pPr>
        <w:pStyle w:val="Heading1"/>
      </w:pPr>
      <w:r>
        <w:t>7 全部模式扫描与执行边界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21日检验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22日结论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自然空接 控怪 空中飘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三只H4为新最高结构，X/C与压缩身份链不足。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仅潜在T21观察，不能确认最终细分。允许证据齐全后叠加；空中飘T+1常规默认舍弃。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控怪细节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可见5→4→3→4→4；有效主干轮次和前空中飘淘汰反馈不全。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连续压缩≥第二次提高关注不等于必成；不从回升一天推导控怪确认。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断板龙 空接断板龙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4板与3板相邻，没有两层缺口；被动空间未证。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无正式断板龙T21或先手；不能把普通最高换手票定义为隐形龙。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公告空接龙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新华传媒继续断板；东安20日一字/21日开板，大业两日一字。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两日高位有效换手不成立或未证，不确认22日资格恢复窗口。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有效A/B连续来源不足，Y未知。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屋顶下、摸顶、突破均待核；未知Y不能由4板替代。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 T+3 T+4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19日结构组21日T+2前提不全且吉大断板；22日T+3。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无已确认成功T+2可顺延；23日虽为T+4日期，亦不授予抱龙权限。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沪指高点较前收约+0.21%，收-0.60%，明显不符合P0指数门槛。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不成立，不能由个别反包涨停替代指数条件。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空转趋 龙头首阴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吉大/东方等断板且原有效身份未齐，趋势及原持仓状态不全。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仅后续观察，空转趋本身不是买点；不直接按跌幅抄底。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 分离确认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要以昨盘口为基准，竞价、量能、速度、均价及题材一起核验。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只作既有合格身份的工具。同组原则只认第一有效确认者，不能见高开即买。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当前无法独立编码完整量价、时点、失效参数。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需回查原文/体系依据不足，不按名称数字补造，不发布自创阈值。</w:t>
            </w:r>
          </w:p>
        </w:tc>
      </w:tr>
    </w:tbl>
    <w:p>
      <w:pPr>
        <w:spacing w:after="0"/>
      </w:pPr>
    </w:p>
    <w:p>
      <w:r>
        <w:t>P1提供压突与空间压缩的补充，P2提供盘口工具与历史案例；若案例允许低吸而P0对超级先手只认封板/回封，执行P0。E1只作情绪解释，不能用其周期天数、仓位或历史成功票改变执行权限。</w:t>
      </w:r>
    </w:p>
    <w:p>
      <w:r>
        <w:br w:type="page"/>
      </w:r>
    </w:p>
    <w:p>
      <w:pPr>
        <w:pStyle w:val="Heading1"/>
      </w:pPr>
      <w:r>
        <w:t>8 板块梯队 主流分支与带队票验证</w:t>
      </w:r>
    </w:p>
    <w:p>
      <w:r>
        <w:t>以下A表严格采用可验证的行业同组，宽口径仅作概念观察。统计范围为本次50只封板池及已核核心报价，不声称全市场宽概念全覆盖。跟随因果未证，表内“同组”不等于“被该票带动”；有效因果跟风数量均待核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2160"/>
        <w:gridCol w:w="3240"/>
        <w:gridCol w:w="3312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核心观察</w:t>
            </w:r>
          </w:p>
        </w:tc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严格与宽口径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同组数量与名单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梯队及结论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海洋王</w:t>
              <w:br/>
              <w:t>002724</w:t>
            </w:r>
          </w:p>
        </w:tc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严格行业：照明设备</w:t>
              <w:br/>
              <w:t>宽题材：AI智慧照明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同业封板1只：星光股份002076。</w:t>
              <w:br/>
              <w:t>因果跟风待核；炸板/仅涨完整清单未取得，不记为0。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1板：无；2板：星光股份002076；3板：无；3板以上：海洋王。严格梯队不完整；宽口径待核。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大业股份</w:t>
              <w:br/>
              <w:t>603278</w:t>
            </w:r>
          </w:p>
        </w:tc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严格行业：通用设备</w:t>
              <w:br/>
              <w:t>宽题材：机器人观察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同业封板3只：哈空调600202、泰尔股份002347、雪人集团002639。</w:t>
              <w:br/>
              <w:t>因果跟风待核；炸板/仅涨完整清单未取得，不记为0。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1板：哈空调600202、雪人集团002639；2板：泰尔股份002347；3板：无；3板以上：大业股份。严格梯队不完整；宽口径待核。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东安动力</w:t>
              <w:br/>
              <w:t>600178</w:t>
            </w:r>
          </w:p>
        </w:tc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严格行业：汽车零部</w:t>
              <w:br/>
              <w:t>宽题材：低空/汽零观察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</w:t>
              <w:br/>
              <w:t>因果跟风待核；炸板/仅涨完整清单未取得，不记为0。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1板：无；2板：无；3板：无；3板以上：东安动力。严格梯队不完整；宽口径待核。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润建股份</w:t>
              <w:br/>
              <w:t>002929</w:t>
            </w:r>
          </w:p>
        </w:tc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严格行业：通信服务</w:t>
              <w:br/>
              <w:t>宽题材：算力服务观察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同业封板0只：无。</w:t>
              <w:br/>
              <w:t>因果跟风待核；炸板/仅涨完整清单未取得，不记为0。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1板：无；2板：无；3板：润建股份002929；3板以上：无。严格梯队不完整；宽口径待核。</w:t>
            </w:r>
          </w:p>
        </w:tc>
      </w:tr>
    </w:tbl>
    <w:p>
      <w:pPr>
        <w:spacing w:after="0"/>
      </w:pPr>
    </w:p>
    <w:p>
      <w:pPr>
        <w:pStyle w:val="Heading2"/>
      </w:pPr>
      <w:r>
        <w:t>封板时序能说明的范围</w:t>
      </w:r>
    </w:p>
    <w:p>
      <w:r>
        <w:t>海洋王09:25一字后同业星光09:30封板，但时间先后不足以证明带动；大业09:25、泰尔09:25及其他通用设备票同日封板，产业链差异大，不能整行业算机器人跟风。东安09:30:15末封后长春一东大跌，不能宣称汽零完整延续。润建09:38:54末封，与11点后数据服务扩散有时间顺序，但题材映射与成交因果不足。</w:t>
      </w:r>
    </w:p>
    <w:p>
      <w:r>
        <w:t>福莱新材605488高34.09、收32.91为已核机器人观察炸板1只；凡拓数创301313+11.54%、能科科技603859+2.76%为已核涨未板2只，不能与封板数量混加。宽题材重叠及完整成分待核，不凑完整梯队。</w:t>
      </w:r>
    </w:p>
    <w:p>
      <w:r>
        <w:br w:type="page"/>
      </w:r>
    </w:p>
    <w:p>
      <w:pPr>
        <w:pStyle w:val="Heading1"/>
      </w:pPr>
      <w:r>
        <w:t>8 板块验证续 主流分支带队表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464"/>
        <w:gridCol w:w="3960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主流分支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高度与时间观察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带队和梯队结论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端侧AI/通信观察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移远H2首09:46:12、末14:56:57开17次；日海H2一字09:25；通宇H1末11:14:39开8次。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该样本封板3只；首板/2板有、3板无，严格细分交叉待核。最早可见末封日海但一字特殊；全日最稳与辨识度未完整证明，主带队待确认。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机器人/物理AI观察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大业H4一字；福莱605488炸板；凡拓301313、能科603859仅涨。泰尔H2是否同一细分需核。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明确样本封板1、炸板1、仅涨2；严格机器人梯队不完整。大业高位封住但后排分化，不能据其独板认完整延续。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数据与算力服务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润建H3；行业IT服务封板海量603138 H1、南威603636 H2、航天600271 H1、太极002368 H1、慧辰688500 H1。三维301159 H1属软件。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IT行业样本5只，1/2有、3无；跨行业宽样本连润建可见1/2/3，但题材归属不同，宽完整仅结构外观。海量09:30:07最早可见末封；慧辰15:00末封。未证全日最稳或因果带动，本分支无已确认主带队票。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传媒修复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粤传媒002181 H2末09:31:30；出版601999 H1末09:30:33；读者603999 H1末13:06:01；兆讯301102 H1末14:54:36；中广603721 H1末14:40:09。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样本封板5，另新华传媒600825仅涨；1/2有、3无，行业跨广告/出版/影视，严格细分不完整。出版末封早但不能因此认唯一带队；读者仅修复首板，N+不累计。</w:t>
            </w:r>
          </w:p>
        </w:tc>
      </w:tr>
    </w:tbl>
    <w:p>
      <w:pPr>
        <w:spacing w:after="0"/>
      </w:pPr>
    </w:p>
    <w:p>
      <w:r>
        <w:t>表中时间为数据源“最后封板”或首触板字段，不保证逐笔核验的全程有效封板。封单最稳须完整撤单与回封序列，辨识度亦需独立证据；三项未指向同一且已证带动前，主带队票不确认。22日验证状态均为待下一交易日验证。</w:t>
      </w:r>
    </w:p>
    <w:p>
      <w:pPr>
        <w:pStyle w:val="Heading2"/>
      </w:pPr>
      <w:r>
        <w:t>22日板块联动检查</w:t>
      </w:r>
    </w:p>
    <w:p>
      <w:r>
        <w:t>候选继续封板且其后排同步晋级、封板质量改善，才强化延续；候选独涨而后排全部退潮，记个股抱团/板块延续不足。高开低走为带队失败，低开闷杀为证伪或退潮提示，均须与后排核对。任何带队验证不能越过CLOSED。</w:t>
      </w:r>
    </w:p>
    <w:p>
      <w:r>
        <w:br w:type="page"/>
      </w:r>
    </w:p>
    <w:p>
      <w:pPr>
        <w:pStyle w:val="Heading1"/>
      </w:pPr>
      <w:r>
        <w:t>9 核心观察对象执行卡</w:t>
      </w:r>
    </w:p>
    <w:p>
      <w:r>
        <w:t>本章是观察和持仓管理卡。共用字段：Hmax=4；X/C/Y均UNKNOWN，H4通过C未确认；Y比较待核。所有卡的新增仓位均为0。22日停复牌/新增监管事项待盘前核验，未证被动空间身份；不把异动公告直接等同公告驱动票。</w:t>
      </w:r>
    </w:p>
    <w:p>
      <w:pPr>
        <w:pStyle w:val="Heading2"/>
      </w:pPr>
      <w:r>
        <w:t>东安动力 600178 汽车零部件及低空观察</w:t>
      </w:r>
    </w:p>
    <w:p>
      <w:r>
        <w:t>H4，21日13.65元+9.99%，开13.65、低13.47，开板1次，末封09:30:15，换手约9.57%。20日一字，21日已打开；未完成已证两日有效高位换手。</w:t>
      </w:r>
    </w:p>
    <w:p>
      <w:r>
        <w:t>潜在T21新空间，22日T+1日期；首次合格窗口未确认。自然/控怪/空中飘叠加均待核；上方被动空间与断板龙依据不足。</w:t>
      </w:r>
    </w:p>
    <w:p>
      <w:r>
        <w:t>基准为今日竞价强、开板后早回封。若22日开板后承接弱或低预期、汽零后排继续负反馈，则预期证伪；竞价撤单与均价承接待盘中。公告称仅为在研飞行汽车匹配既有增程器、未批量生产，不能按整车业务估值。[S8]</w:t>
      </w:r>
    </w:p>
    <w:p>
      <w:pPr>
        <w:pStyle w:val="Heading2"/>
      </w:pPr>
      <w:r>
        <w:t>大业股份 603278 通用设备及机器人观察</w:t>
      </w:r>
    </w:p>
    <w:p>
      <w:r>
        <w:t>H4，21日13.19元+10.01%，开高低收均13.19，末封09:25、0开板，换手约1.64%。20/21日纯一字。</w:t>
      </w:r>
    </w:p>
    <w:p>
      <w:r>
        <w:t>潜在T21新空间，22日T+1日期；一字特殊排除未解除，H4对C未知。不能把22日单次开板命名为两日换手恢复。</w:t>
      </w:r>
    </w:p>
    <w:p>
      <w:r>
        <w:t>基准为连续一字高一致。若22日可轻易成交且回封弱，属于低于此前盘口，不是便宜机会。须看福莱/凡拓等后排，不以独涨认板块高潮。晚间公司称机器人腱绳尚未量产、未产生实质收益。[S9]</w:t>
      </w:r>
    </w:p>
    <w:p>
      <w:pPr>
        <w:pStyle w:val="Heading2"/>
      </w:pPr>
      <w:r>
        <w:t>海洋王 002724 专业照明及智慧照明观察</w:t>
      </w:r>
    </w:p>
    <w:p>
      <w:r>
        <w:t>H4，21日10.19元+10.04%，开高低收同价，末封09:25、0开板、换手约0.82%；20日有换手。</w:t>
      </w:r>
    </w:p>
    <w:p>
      <w:r>
        <w:t>潜在T21新空间，22日T+1日期；公告/起手分类与有效换手资格待核，C未知。允许的细分叠加仍须原始证据。</w:t>
      </w:r>
    </w:p>
    <w:p>
      <w:r>
        <w:t>基准为21日一字加速。若22日放量开板无法回封且星光等同组不延续，则预期失败；无已证独立唯一先手。晚间澄清AI照明业务规模有限，非核电/深海科技概念，不能按名字拉题材。[S7]</w:t>
      </w:r>
    </w:p>
    <w:p>
      <w:r>
        <w:t>三卡共同动作：无持仓不主动开仓；已有持仓按自身成本、原失效线与真实承接处理，反抽不能无条件加仓。没有私人持仓数据，不能指定卖出数量或保证跌停可成交。绝对禁止：风险未解除、C未知、身份未证、盘口不可核验或无成交机会。</w:t>
      </w:r>
    </w:p>
    <w:p>
      <w:r>
        <w:br w:type="page"/>
      </w:r>
    </w:p>
    <w:p>
      <w:pPr>
        <w:pStyle w:val="Heading1"/>
      </w:pPr>
      <w:r>
        <w:t>9 执行卡续 分支与分时流程</w:t>
      </w:r>
    </w:p>
    <w:p>
      <w:pPr>
        <w:pStyle w:val="Heading2"/>
      </w:pPr>
      <w:r>
        <w:t>润建股份 002929 算力服务观察</w:t>
      </w:r>
    </w:p>
    <w:p>
      <w:r>
        <w:t>严格H3，56.14元+9.99%，开53.12、高56.14、低52.44，末封09:38:54，开板1次，换手约8.86%。不是新最高、无已证隐形空间，不设模式T；22日是普通3进4观察日，无首次广义买点。H3虽不高于合法C下限，也不等于完整通过资格。</w:t>
      </w:r>
    </w:p>
    <w:p>
      <w:r>
        <w:t>22日为除息日，每10股派0.18元，登记日21日。次日竞价与涨跌幅以交易所正式除息参考价为准，不直接照抄56.14为涨停计算基准。公司公告提示AI/算力/词元业务占比仍低。[S6] 不用高开或快速封板反向创造广义身份。</w:t>
      </w:r>
    </w:p>
    <w:p>
      <w:pPr>
        <w:pStyle w:val="Heading2"/>
      </w:pPr>
      <w:r>
        <w:t>吉大正元 003029 与东方嘉盛 002889</w:t>
      </w:r>
    </w:p>
    <w:p>
      <w:r>
        <w:t>吉大21日25.66元-3.57%，开28.77、高28.80、低25.55，换手38.27%；东方13.83元-5.85%，开14.46、低13.73。两者均断板，H写断板而非累计4或3。结构观察T19，22日T+3仅日期。上游身份、C与补救资格不全，不准反包、首阴或空转趋直接产生新买点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4896"/>
        <w:gridCol w:w="3600"/>
      </w:tblGrid>
      <w:tr>
        <w:trPr>
          <w:cantSplit/>
          <w:tblHeader/>
        </w:trPr>
        <w:tc>
          <w:tcPr>
            <w:tcW w:type="dxa" w:w="172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22日时段</w:t>
            </w:r>
          </w:p>
        </w:tc>
        <w:tc>
          <w:tcPr>
            <w:tcW w:type="dxa" w:w="489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出现信号怎样做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没有信号怎样做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8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核实停复牌及润建除息参考价，记录三H4与后排竞价、撤单、竞价量对前日基准；信号仅登记。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数据缺或低预期，观察资格降级；不挂单赌一字成交。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8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核验同竞争组首个有效封板、均价承接、是否带动后排；CLOSED时不下主动新单。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弱转强未出现不主观补成，已有仓位按原退出纪律。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8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看强者封板持续及落后票负反馈，区分个股抱团和题材扩散；更新证伪。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无确认保持观察，不因错过而切低位补救。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89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只有风险、C、身份和唯一性全部获准，才进一步核验超级先手；本报告权限未获准，仍只观察。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不低吸、不半路，不用收盘结果补造分离。</w:t>
            </w:r>
          </w:p>
        </w:tc>
      </w:tr>
      <w:tr>
        <w:trPr>
          <w:cantSplit/>
        </w:trPr>
        <w:tc>
          <w:tcPr>
            <w:tcW w:type="dxa" w:w="172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89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记录封板和断板结果，管理原仓位与不可成交风险；准备收盘账本。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不新增常规超级先手；无结果不凑下一轮压突信号。</w:t>
            </w:r>
          </w:p>
        </w:tc>
      </w:tr>
    </w:tbl>
    <w:p>
      <w:pPr>
        <w:spacing w:after="0"/>
      </w:pPr>
    </w:p>
    <w:p>
      <w:r>
        <w:t>数据缺口共用：逐时唯一空间、竞价封单撤单、回封量、均价/主动量、22日全部停复牌及私人持仓成本。以上缺口均限制执行，不用收盘涨停予以补齐。</w:t>
      </w: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4392"/>
        <w:gridCol w:w="4320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需同时观察的证据</w:t>
            </w:r>
          </w:p>
        </w:tc>
        <w:tc>
          <w:tcPr>
            <w:tcW w:type="dxa" w:w="43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无持仓与已有持仓动作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三只H4中有主动唯一胜出者且后排同步强化；旧A杀群体连续止跌反抽，跌停低位保持；X/C及身份链补齐，风险完成重新核验。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无持仓：先完成所有资格，报告现有CLOSED不因一个秒板自动转OPEN；未获准前不买。已有仓位：看真实承接执行原持有/退出计划，不因为超预期自动加仓。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高标继续分化，低位传媒/数据轮动，旧高位修复不均，指数偏弱；三只H4未分离或后排没有同步扩张。</w:t>
            </w:r>
          </w:p>
        </w:tc>
        <w:tc>
          <w:tcPr>
            <w:tcW w:type="dxa" w:w="43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无持仓：保持观察，新增0。已有仓位：弱反抽不视为全面反转，依据原失效条件管理，先保可成交性。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H4集体开板失败，润建除息调整后仍明显弱，后排与旧高位同步下跌；跌停扩散或指数/短线共振恶化。</w:t>
            </w:r>
          </w:p>
        </w:tc>
        <w:tc>
          <w:tcPr>
            <w:tcW w:type="dxa" w:w="43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无持仓：回避主动新开，不抄底、不用压突/首阴翻案。已有仓位：原退出条件出现时按真实流动性处理，跌停无量不保证能卖，禁止摊薄补仓。</w:t>
            </w:r>
          </w:p>
        </w:tc>
      </w:tr>
    </w:tbl>
    <w:p>
      <w:pPr>
        <w:spacing w:after="0"/>
      </w:pPr>
    </w:p>
    <w:p>
      <w:pPr>
        <w:pStyle w:val="Heading2"/>
      </w:pPr>
      <w:r>
        <w:t>如何判定证伪</w:t>
      </w:r>
    </w:p>
    <w:p>
      <w:r>
        <w:t>价格或盘口：前日一字强一致转为易成交且弱承接；冲板后反复炸板无法站稳；高开低走或低开无修复。结构：所谓唯一胜出者被同组反卡，原空间继续强导致新锚假设失效。板块：核心封住但后排普遍炸板、晋级失败，不能认定带队有效。</w:t>
      </w:r>
    </w:p>
    <w:p>
      <w:r>
        <w:t>数据或规则：公告改变可交易状态、原题材被公司澄清、C快照或主干被纠错、压突源账本不成立，均应撤销相应预期。没有信号时不交易，本身就是本报告的有效执行结果。</w:t>
      </w:r>
    </w:p>
    <w:p>
      <w:pPr>
        <w:pStyle w:val="Heading2"/>
      </w:pPr>
      <w:r>
        <w:t>本次不设的数值</w:t>
      </w:r>
    </w:p>
    <w:p>
      <w:r>
        <w:t>不自创情绪评分、资金分配比例、统一有效换手率、4K/6K阈值、私人止损价或收益目标。CLOSED对应新增0是明确母规则约束；其他动作仅在既有持仓原计划、身份和可核验盘口范围内讨论。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4248"/>
        <w:gridCol w:w="3600"/>
      </w:tblGrid>
      <w:tr>
        <w:trPr>
          <w:cantSplit/>
          <w:tblHeader/>
        </w:trPr>
        <w:tc>
          <w:tcPr>
            <w:tcW w:type="dxa" w:w="237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历史对象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21日真实结果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22日后续处理</w:t>
            </w:r>
          </w:p>
        </w:tc>
      </w:tr>
      <w:tr>
        <w:trPr>
          <w:cantSplit/>
        </w:trPr>
        <w:tc>
          <w:tcPr>
            <w:tcW w:type="dxa" w:w="23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吉大正元 结构T19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20日H4成功；21日高开28.77收25.66，-3.57%，断板，未形成有效T+2成功事实。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22日T+3、23日T+4仅为日期；首次T+1不重开，T+3/抱龙条件未成立。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东方嘉盛 结构T19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20日冲板失败；21日继续-5.85%。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没有首阴自动买点。若空转趋，原有效身份与趋势承接仍需独立确认。</w:t>
            </w:r>
          </w:p>
        </w:tc>
      </w:tr>
      <w:tr>
        <w:trPr>
          <w:cantSplit/>
        </w:trPr>
        <w:tc>
          <w:tcPr>
            <w:tcW w:type="dxa" w:w="23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 福莱 机器人预选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大业一字H4；福莱高34.09触板后收32.91+6.20%，没有封板。凡拓+11.54%，能科+2.76%。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核心高度延续、后排分化，不能写完整板块情绪延续；22日再核因果与强度。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凡拓数创 分支预选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开49.87收52.20+11.54%，高54.80未到按前收46.80推算的20cm涨停，严格H2终止。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仅涨未板，不能记3板或T+2分支成功；趋势模式需前置身份和另行买点。</w:t>
            </w:r>
          </w:p>
        </w:tc>
      </w:tr>
      <w:tr>
        <w:trPr>
          <w:cantSplit/>
        </w:trPr>
        <w:tc>
          <w:tcPr>
            <w:tcW w:type="dxa" w:w="23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移远通信 端侧预选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2板83.72，开板17次、末封14:56:57。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封板延续但质量分歧，需日海/通宇等后排支持；不等于其已证唯一主带队。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京城 长春一东 原H3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分别-7.52%、-8.98%，均失败。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汽零/机器人后排负反馈，禁止从大业东安晋级推导全组安全。</w:t>
            </w:r>
          </w:p>
        </w:tc>
      </w:tr>
      <w:tr>
        <w:trPr>
          <w:cantSplit/>
        </w:trPr>
        <w:tc>
          <w:tcPr>
            <w:tcW w:type="dxa" w:w="237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新华传媒 公告背景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16.17元+6.45%，高16.34，未封板，严格连续段未恢复。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不把断板后的连续有成交等同两日有效高位换手确认；不确认公告空接资格。</w:t>
            </w:r>
          </w:p>
        </w:tc>
      </w:tr>
      <w:tr>
        <w:trPr>
          <w:cantSplit/>
        </w:trPr>
        <w:tc>
          <w:tcPr>
            <w:tcW w:type="dxa" w:w="237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读者 新华文轩 旧高位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读者涨停H1；文轩开23.71收22.60，-1.70%高开低走。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一修复一弱，不能仅凭读者反包解除强控或确认传媒全面回暖。</w:t>
            </w:r>
          </w:p>
        </w:tc>
      </w:tr>
    </w:tbl>
    <w:p>
      <w:pPr>
        <w:spacing w:after="0"/>
      </w:pPr>
    </w:p>
    <w:p>
      <w:pPr>
        <w:pStyle w:val="Heading2"/>
      </w:pPr>
      <w:r>
        <w:t>补救与趋势跟踪边界</w:t>
      </w:r>
    </w:p>
    <w:p>
      <w:r>
        <w:t>T+2需T+1客观几乎不能成交或已持有效主龙且有剩余仓位，主观犹豫不能算。原T19组20日吉大有显著换手和开板，不能据此证明场外完全无机会上车；用户个人仓位也未知，所以本次不建立有效T+2组，不把其失败计B。</w:t>
      </w:r>
    </w:p>
    <w:p>
      <w:r>
        <w:t>空转趋只解决断板后跟踪对象，不直接给买点。10日线、15日线、连板倒数第二根涨停开盘价可作不同体系参考，但当前连续历史价序列与有效身份未齐，不统一编造一条止损线。4K/6K完整参数仍需回查原文。</w:t>
      </w:r>
    </w:p>
    <w:p>
      <w:r>
        <w:br w:type="page"/>
      </w:r>
    </w:p>
    <w:p>
      <w:pPr>
        <w:pStyle w:val="Heading1"/>
      </w:pPr>
      <w:r>
        <w:t>12 受控未知项与数据来源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未知项</w:t>
            </w:r>
          </w:p>
        </w:tc>
        <w:tc>
          <w:tcPr>
            <w:tcW w:type="dxa" w:w="792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影响与处理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X/C主干及旧快照</w:t>
            </w:r>
          </w:p>
        </w:tc>
        <w:tc>
          <w:tcPr>
            <w:tcW w:type="dxa" w:w="79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有效空间楼、全灭事件及重置链未齐，均UNKNOWN；不以Hmax代填。H4候选不能确认通过C。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Y有效连续来源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A/B身份与连续性不完整，不造压突高度或突破买点。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公告与可交易状态</w:t>
            </w:r>
          </w:p>
        </w:tc>
        <w:tc>
          <w:tcPr>
            <w:tcW w:type="dxa" w:w="79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22日临时停牌/复牌和新增监管未全量核验；盘前再核，未知按封闭处理。已知除息和晚间澄清单列。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盘口与带动因果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收盘封单不等于全日最稳；首触板不等于有效首封。行业同组非因果跟风，完整宽题材成分与盘中因果待核。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理论和情绪缺口</w:t>
            </w:r>
          </w:p>
        </w:tc>
        <w:tc>
          <w:tcPr>
            <w:tcW w:type="dxa" w:w="792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P2相关文字已回查，但未宣称322幅图全部完成语义验收；4K/6K不能独立编码。E1缺节/缺图不补造。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私人持仓</w:t>
            </w:r>
          </w:p>
        </w:tc>
        <w:tc>
          <w:tcPr>
            <w:tcW w:type="dxa" w:w="792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无用户仓位成本、流动性限制与原退出线，不指定私人交易数量。</w:t>
            </w:r>
          </w:p>
        </w:tc>
      </w:tr>
    </w:tbl>
    <w:p>
      <w:pPr>
        <w:spacing w:after="0"/>
      </w:pPr>
    </w:p>
    <w:p>
      <w:r>
        <w:t>抓取与核验时间：北京时间2026年10月22日00:28至00:53；日线行情字段为20261021收盘，腾讯报价时间多为当日16:14—16:15。历史池按URL的date参数取数；接口qdate返回服务当前日期，不能单靠qdate证明历史日期，已用对应核心价格和前日报告记录交叉核对。</w:t>
      </w:r>
    </w:p>
    <w:p>
      <w:r>
        <w:t>[S1] 上海证券交易所2026年休市安排</w:t>
        <w:br/>
        <w:t>https://www.sse.com.cn/disclosure/dealinstruc/closed/</w:t>
      </w:r>
    </w:p>
    <w:p>
      <w:r>
        <w:t>[S2] 腾讯收盘报价 三指数及本报告核心股，保存原始字段；URL可逐股替换</w:t>
        <w:br/>
        <w:t>https://qt.gtimg.cn/q=sh000001,sz399001,sz399006,sz003029,sz002889,sz002724,sh603278,sh600178,sz002929,sh603999,sh601811,sz000530,sh600825,sh600860,sh600148,sz301313,sh605488,sh603859,sh600241</w:t>
      </w:r>
    </w:p>
    <w:p>
      <w:r>
        <w:t>[S3] 东方财富21日涨停池 全50行；前日池date=20261020为54行</w:t>
        <w:br/>
        <w:t>https://push2ex.eastmoney.com/getTopicZTPool?ut=7eea3edcaed734bea9cbfc24409ed989&amp;dpt=wz.ztzt&amp;Pageindex=0&amp;pagesize=1000&amp;sort=fund%3Aasc&amp;date=20261021</w:t>
      </w:r>
    </w:p>
    <w:p>
      <w:r>
        <w:t>[S4] 东方财富21日跌停池 全5行；同接口历史date=20261016/19/20分别10/22/6行</w:t>
        <w:br/>
        <w:t>https://push2ex.eastmoney.com/getTopicDTPool?ut=7eea3edcaed734bea9cbfc24409ed989&amp;dpt=wz.ztzt&amp;Pageindex=0&amp;pagesize=1000&amp;sort=fund%3Aasc&amp;date=20261021</w:t>
      </w:r>
    </w:p>
    <w:p>
      <w:r>
        <w:t>[S5] 财联社复盘转载21日17:24；50封板及19炸板仅作交叉参考</w:t>
        <w:br/>
        <w:t>https://cj.sina.com.cn/articles/view/2868676035/aafc85c302001yu8s</w:t>
      </w:r>
    </w:p>
    <w:p>
      <w:r>
        <w:t>[S6] 润建股份公司异动公告 上海证券报21日刊载，22日除息及业务占比提示</w:t>
        <w:br/>
        <w:t>https://paper.cnstock.com/html/2026-10/21/content_2279104.htm</w:t>
      </w:r>
    </w:p>
    <w:p>
      <w:r>
        <w:br w:type="page"/>
      </w:r>
    </w:p>
    <w:p>
      <w:pPr>
        <w:pStyle w:val="Heading1"/>
      </w:pPr>
      <w:r>
        <w:t>12 数据附录与晚间补充</w:t>
      </w:r>
    </w:p>
    <w:p>
      <w:pPr>
        <w:pStyle w:val="Heading2"/>
      </w:pPr>
      <w:r>
        <w:t>21日17:30之后的公告补充</w:t>
      </w:r>
    </w:p>
    <w:p>
      <w:r>
        <w:t>以下为补做时已经公开的晚间风险信息，不能倒写为21日17:30已知。只用于22日盘前风险，不修改21日盘中身份或追认买点；公司原始全文未全部取得时保留“媒体转述公告”来源层级。</w:t>
      </w:r>
    </w:p>
    <w:p>
      <w:r>
        <w:t>[S7] 海洋王晚间澄清 南方财经20:48转述：AI智慧照明规模有限，非核电/深海科技概念</w:t>
        <w:br/>
        <w:t>https://finance.eastmoney.com/a/202610213902870129.html</w:t>
      </w:r>
    </w:p>
    <w:p>
      <w:r>
        <w:t>[S8] 东安动力晚间风险说明 人民财讯20:08转述：不从事飞行汽车整车，仅试制匹配增程器，未批量生产</w:t>
        <w:br/>
        <w:t>https://www.stcn.com/article/detail/4231480.html</w:t>
      </w:r>
    </w:p>
    <w:p>
      <w:r>
        <w:t>[S9] 大业股份晚间澄清 财闻18:45转述：机器人腱绳未量产、未产生实质收益</w:t>
        <w:br/>
        <w:t>https://www.caiwennews.com/article/1661904.shtml</w:t>
      </w:r>
    </w:p>
    <w:p>
      <w:r>
        <w:t>[S10] 上交所最新公司公告目录 可复核大业与东安21日风险公告标题</w:t>
        <w:br/>
        <w:t>https://www.sse.com.cn/disclosure/listedinfo/announcement/</w:t>
      </w:r>
    </w:p>
    <w:p>
      <w:pPr>
        <w:pStyle w:val="Heading2"/>
      </w:pPr>
      <w:r>
        <w:t>严格连板全量梯队</w:t>
      </w:r>
    </w:p>
    <w:p>
      <w:r>
        <w:t>4板共3只：海洋王002724、东安动力600178、大业股份603278。</w:t>
      </w:r>
    </w:p>
    <w:p>
      <w:r>
        <w:t>3板共1只：润建股份002929。</w:t>
      </w:r>
    </w:p>
    <w:p>
      <w:r>
        <w:t>2板共12只：永达股份001239、星光股份002076、粤 传 媒002181、九阳股份002242、日海智能002313、泰尔股份002347、百洋股份002696、同为股份002835、三峡新材600293、移远通信603236、南威软件603636、安记食品603696。</w:t>
      </w:r>
    </w:p>
    <w:p>
      <w:r>
        <w:t>1板共34只：四环生物000518、北大医药000788、东瑞股份001201、华瓷股份001216、东方海洋002086、三变科技002112、天威视讯002238、太极股份002368、顺灏股份002565、恒大高新002591、雪人集团002639、通宇通讯002792、郑中设计002811、莱美药业300006、利亚德300296、兆讯传媒301102、三维天地301159、哈空调600202、中恒集团600252、航天信息600271、文投控股600715、福建水泥600802、上海九百600838、九牧王601566、出版传媒601999、海量数据603138、天洋新材603330、苏州龙杰603332、利通电子603629、中广天择603721、读者传媒603999、均瑶健康605388、敏芯股份688286、慧辰股份688500。</w:t>
      </w:r>
    </w:p>
    <w:p>
      <w:r>
        <w:t>上述严格梯队合计50只。行业归属使用同一数据源字段，概念归属另核，不能从同业或名字相近推导业务与带动。封板/炸板/仅涨统计范围分别标明，未取得的完整清单不写0。</w:t>
      </w:r>
    </w:p>
    <w:p>
      <w:r>
        <w:t>风险提示：本报告仅为公开收盘数据与用户规则的条件化整理，不保证收益，不替代独立判断；观察名单不是交易指令。真实流动性、除权参考价、临时停复牌、公告与盘中风险优先；无法核验的执行条件按不满足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2026-10-22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2026年10月22日  |  基于10月21日收盘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