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eastAsia="Noto Sans CJK SC"/>
          <w:b/>
          <w:color w:val="111827"/>
          <w:sz w:val="46"/>
        </w:rPr>
        <w:t>2026年9月10日 A股模式股盘前操作策略</w:t>
      </w:r>
    </w:p>
    <w:p>
      <w:pPr>
        <w:spacing w:after="160"/>
        <w:jc w:val="center"/>
      </w:pPr>
      <w:r>
        <w:rPr>
          <w:rFonts w:ascii="Arial" w:hAnsi="Arial" w:eastAsia="Noto Sans CJK SC"/>
          <w:b w:val="0"/>
          <w:color w:val="5F6B76"/>
          <w:sz w:val="22"/>
        </w:rPr>
        <w:t>基于2026年9月9日收盘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B91C1C"/>
                <w:sz w:val="22"/>
              </w:rPr>
              <w:t>盘前总指令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风险闸门暂为 UNKNOWN，按关闭处理。9:25以前不新开仓；只有核跌停全部实际打开、非ST跌停仍为个位数且高位负反馈没有扩散，才可升级为收紧状态。百大集团若5进6，只是H=Y摸天花板，原则上不买。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Arial" w:hAnsi="Arial" w:eastAsia="Noto Sans CJK SC"/>
          <w:b w:val="0"/>
          <w:color w:val="5F6B76"/>
          <w:sz w:val="18"/>
        </w:rPr>
        <w:t>分析日期：2026-09-09｜最近完整市场日：2026-09-09｜目标交易日：2026-09-10｜数据截止：2026-09-09 17:05（北京时间）</w:t>
      </w:r>
    </w:p>
    <w:p>
      <w:pPr>
        <w:spacing w:after="80" w:line="269" w:lineRule="auto"/>
      </w:pPr>
      <w:r>
        <w:rPr>
          <w:rFonts w:ascii="Arial" w:hAnsi="Arial" w:eastAsia="Noto Sans CJK SC"/>
          <w:b w:val="0"/>
          <w:color w:val="5F6B76"/>
          <w:sz w:val="18"/>
        </w:rPr>
        <w:t>体系依据顺序：P0《A股每日操盘策略母规则》&gt; P1《压突模式理论整理稿》&gt; P2《猫2原始理论证据库》。公开行情只作事实输入。</w:t>
      </w: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1 一页执行结论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38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896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9月10日动作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风险总闸门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UNKNOWN，按关闭处理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盘前不主动新开仓；9:25重新核验后最多升级为TIGHT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Hmax / X / Y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5 / 7 / 6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Hmax与X分开；百大5进6只是摸Y，不追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今日首次模式信号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百大集团确认“控怪龙/空拐候选”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9月9日已给正常换手机会，9月10日不得包装成T+2补救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压突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未突破，Hmax=5&lt;Y=6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无压突买点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空转趋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龙版传媒入池但停牌核查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不能交易；复牌后重建预期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弱转强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亚盛集团仅为条件观察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需竞价、量价、农业联动同时确认；风险闸门未开则只看不做</w:t>
            </w:r>
          </w:p>
        </w:tc>
      </w:tr>
      <w:tr>
        <w:trPr>
          <w:cantSplit/>
        </w:trPr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总操作原则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先风险，后身份，再买点</w:t>
            </w:r>
          </w:p>
        </w:tc>
        <w:tc>
          <w:tcPr>
            <w:tcW w:type="dxa" w:w="48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同组只认首个有效分离；14:35以后不新增仓</w:t>
            </w:r>
          </w:p>
        </w:tc>
      </w:tr>
    </w:tbl>
    <w:p>
      <w:pPr>
        <w:spacing w:after="40"/>
      </w:pPr>
    </w:p>
    <w:p>
      <w:pPr>
        <w:pStyle w:val="Heading3"/>
        <w:keepNext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明日观察顺序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9:15—9:25：先看跌停榜、一字核跌停是否实际打开，再决定风险闸门。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百大集团：只作空间与持仓风控锚。5进6是摸顶，不是新买点。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亚盛集团：只观察巨量炸板后的隔日弱转强，不允许用“高开”两个字替代完整确认。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三板组（金正大、华脉科技、中百集团、桂林旅游）：只记录谁率先有效封板；没有上游模式身份时，分离本身不构成买点。</w:t>
      </w: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2 空间账本 Hmax X 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936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涨停</w:t>
            </w:r>
          </w:p>
        </w:tc>
        <w:tc>
          <w:tcPr>
            <w:tcW w:type="dxa" w:w="1296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跌停</w:t>
            </w:r>
          </w:p>
        </w:tc>
        <w:tc>
          <w:tcPr>
            <w:tcW w:type="dxa" w:w="115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严格Hmax</w:t>
            </w:r>
          </w:p>
        </w:tc>
        <w:tc>
          <w:tcPr>
            <w:tcW w:type="dxa" w:w="266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最高梯队</w:t>
            </w:r>
          </w:p>
        </w:tc>
        <w:tc>
          <w:tcPr>
            <w:tcW w:type="dxa" w:w="259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情绪/结构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9月3日</w:t>
            </w:r>
          </w:p>
        </w:tc>
        <w:tc>
          <w:tcPr>
            <w:tcW w:type="dxa" w:w="93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44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16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国芳集团5板</w:t>
            </w:r>
          </w:p>
        </w:tc>
        <w:tc>
          <w:tcPr>
            <w:tcW w:type="dxa" w:w="259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退潮，液冷/机器人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9月4日</w:t>
            </w:r>
          </w:p>
        </w:tc>
        <w:tc>
          <w:tcPr>
            <w:tcW w:type="dxa" w:w="93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39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龙版传媒5板</w:t>
            </w:r>
          </w:p>
        </w:tc>
        <w:tc>
          <w:tcPr>
            <w:tcW w:type="dxa" w:w="259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冰点，炸板率55.2%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9月7日</w:t>
            </w:r>
          </w:p>
        </w:tc>
        <w:tc>
          <w:tcPr>
            <w:tcW w:type="dxa" w:w="93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93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龙版传媒6板</w:t>
            </w:r>
          </w:p>
        </w:tc>
        <w:tc>
          <w:tcPr>
            <w:tcW w:type="dxa" w:w="259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高潮，通信/机器人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9月8日</w:t>
            </w:r>
          </w:p>
        </w:tc>
        <w:tc>
          <w:tcPr>
            <w:tcW w:type="dxa" w:w="93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73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亚盛、百大、爱仕达4板</w:t>
            </w:r>
          </w:p>
        </w:tc>
        <w:tc>
          <w:tcPr>
            <w:tcW w:type="dxa" w:w="259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降温，6→4断层压缩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9月9日</w:t>
            </w:r>
          </w:p>
        </w:tc>
        <w:tc>
          <w:tcPr>
            <w:tcW w:type="dxa" w:w="93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48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7（另一口径9）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百大集团5板</w:t>
            </w:r>
          </w:p>
        </w:tc>
        <w:tc>
          <w:tcPr>
            <w:tcW w:type="dxa" w:w="259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退潮，4→5局部回升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44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691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依据与边界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Hmax</w:t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5板</w:t>
            </w:r>
          </w:p>
        </w:tc>
        <w:tc>
          <w:tcPr>
            <w:tcW w:type="dxa" w:w="69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市场客观最高连续板：百大集团5连板。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X</w:t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7板</w:t>
            </w:r>
          </w:p>
        </w:tc>
        <w:tc>
          <w:tcPr>
            <w:tcW w:type="dxa" w:w="69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按9月9日空间账本重新核对后仍为7。当前5板未被机械当作新的空间总高；必须等有效空间主干完成传递或淘汰证据。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Y</w:t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6板</w:t>
            </w:r>
          </w:p>
        </w:tc>
        <w:tc>
          <w:tcPr>
            <w:tcW w:type="dxa" w:w="69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既有连续失败账本形成的压突天花板。9月9日没有连续第二个新A/B失败信号，也没有H&gt;6的有效突破，Y继续为6。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H 百大集团</w:t>
            </w:r>
          </w:p>
        </w:tc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5板</w:t>
            </w:r>
          </w:p>
        </w:tc>
        <w:tc>
          <w:tcPr>
            <w:tcW w:type="dxa" w:w="69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H=5&lt;Y=6，仍在屋顶下。9月10日若晋级6板，只是摸天花板。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4C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9A6700"/>
                <w:sz w:val="22"/>
              </w:rPr>
              <w:t>市场状态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断层压缩后的局部空间回升。严格高度从6板降至4板，再由百大集团回到5板；尚未摸到Y=6，更未突破。</w:t>
            </w:r>
          </w:p>
        </w:tc>
      </w:tr>
    </w:tbl>
    <w:p>
      <w:pPr>
        <w:spacing w:after="20"/>
      </w:pPr>
    </w:p>
    <w:p>
      <w:pPr>
        <w:pStyle w:val="Heading3"/>
        <w:keepNext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为什么Hmax不等于X</w:t>
      </w:r>
    </w:p>
    <w:p>
      <w:pPr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Hmax只回答“今天客观最高连续涨停是多少”；X回答“私有空间主干当前有效总高是多少”。9月9日百大集团成为5板，不足以单凭板数重写X。此处采用当天已更新空间账本的X=7，并保留后续重新确认条件。</w:t>
      </w: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3 风险总闸门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核查项</w:t>
            </w:r>
          </w:p>
        </w:tc>
        <w:tc>
          <w:tcPr>
            <w:tcW w:type="dxa" w:w="5256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9月9日事实</w:t>
            </w:r>
          </w:p>
        </w:tc>
        <w:tc>
          <w:tcPr>
            <w:tcW w:type="dxa" w:w="288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跌停数量</w:t>
            </w:r>
          </w:p>
        </w:tc>
        <w:tc>
          <w:tcPr>
            <w:tcW w:type="dxa" w:w="525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连板网7家；证券时报可交易A股口径9家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低于“连续≥10家”强制空仓阈值，但口径有差异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高位负反馈</w:t>
            </w:r>
          </w:p>
        </w:tc>
        <w:tc>
          <w:tcPr>
            <w:tcW w:type="dxa" w:w="525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爱仕达-9.08%、百合花-8.55%、读者传媒-7.82%；捷荣技术、海鸥住工跌停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高位负反馈明显，闸门至少收紧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连板晋级</w:t>
            </w:r>
          </w:p>
        </w:tc>
        <w:tc>
          <w:tcPr>
            <w:tcW w:type="dxa" w:w="525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18只连板中5只晋级，晋级率27.78%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接力强度显著降温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核跌停打开</w:t>
            </w:r>
          </w:p>
        </w:tc>
        <w:tc>
          <w:tcPr>
            <w:tcW w:type="dxa" w:w="525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公开收盘资料不能替代逐笔确认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UNKNOWN，按关闭处理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龙头监管</w:t>
            </w:r>
          </w:p>
        </w:tc>
        <w:tc>
          <w:tcPr>
            <w:tcW w:type="dxa" w:w="525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龙版传媒9月9日起停牌核查；百大集团连续风险提示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高位监管风险上升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B91C1C"/>
                <w:sz w:val="22"/>
              </w:rPr>
              <w:t>风险闸门结论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UNKNOWN / 按关闭处理。若9:25确认核跌停全部打开、非ST跌停维持个位数、高位股没有新增一字跌停或快速A杀，可升级为TIGHT；本报告不预设OPEN。</w:t>
            </w:r>
          </w:p>
        </w:tc>
      </w:tr>
    </w:tbl>
    <w:p>
      <w:pPr>
        <w:spacing w:after="20"/>
      </w:pP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4 今日新出现的模式信号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type="dxa" w:w="230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股票</w:t>
            </w:r>
          </w:p>
        </w:tc>
        <w:tc>
          <w:tcPr>
            <w:tcW w:type="dxa" w:w="554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控怪龙 / 空拐确认候选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百大集团 600865</w:t>
            </w:r>
          </w:p>
        </w:tc>
        <w:tc>
          <w:tcPr>
            <w:tcW w:type="dxa" w:w="55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9月8日6→4断层压缩，百大位于4板最低拐点组；9月9日唯一晋级5板并完成同组分离。身份为候选，风险与压突仍优先。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空转趋入池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龙版传媒 605577</w:t>
            </w:r>
          </w:p>
        </w:tc>
        <w:tc>
          <w:tcPr>
            <w:tcW w:type="dxa" w:w="55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前期6板空间核心，9月8日断板但收涨9.12%，主升趋势未证伪；9月9日起停牌核查，客观不可买。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隔日弱转强观察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亚盛集团 600108</w:t>
            </w:r>
          </w:p>
        </w:tc>
        <w:tc>
          <w:tcPr>
            <w:tcW w:type="dxa" w:w="55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9月9日三次炸板后收涨8.14%，换手约40.55%；只形成次日弱转强观察前置，不等于买点。</w:t>
            </w:r>
          </w:p>
        </w:tc>
      </w:tr>
    </w:tbl>
    <w:p>
      <w:pPr>
        <w:spacing w:after="40"/>
      </w:pP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5 全模式扫描表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8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候选/状态</w:t>
            </w:r>
          </w:p>
        </w:tc>
        <w:tc>
          <w:tcPr>
            <w:tcW w:type="dxa" w:w="511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首次空接龙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百大9月8日已首次处于最高梯队，9月9日不是新的首次T日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首次断板龙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上方缺少“被动空间板/擦板票+至少两层断档+下方真实梯队”的完整证据链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空中飘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未发现新的首次压缩中继锚点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控怪龙 / 空拐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百大集团：候选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6→4→5；9月9日已给正常换手机会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压突突破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Hmax=5&lt;Y=6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T+2模式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百大9月9日换手充分、客观可买，不满足补救前提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T3模式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无有效T+2成功账本承接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负阴抱阳龙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沪指收涨0.28%，未达T日收盘≥1.2%的门槛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空转趋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龙版传媒：入池但不可买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前期核心断板且趋势未证伪；停牌核查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龙头首阴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无符合条件候选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龙版9月8日收涨9.12%非首阴；爱仕达龙头身份与趋势状态不足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龙头4K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体系依据不足/未判定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P2未形成可独立编码的完整参数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龙头6K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体系依据不足/未判定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P2未形成可独立编码的完整参数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经典弱转强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亚盛集团：条件观察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仅有前置弱势，9月10日早盘需客观确认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分离确认</w:t>
            </w:r>
          </w:p>
        </w:tc>
        <w:tc>
          <w:tcPr>
            <w:tcW w:type="dxa" w:w="288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三板组待盘中确认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金正大、华脉科技、中百集团、桂林旅游；分离本身不产生上游身份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6 核心操作候选逐只策略</w:t>
      </w:r>
    </w:p>
    <w:p>
      <w:pPr>
        <w:pStyle w:val="Heading2"/>
        <w:keepNext/>
      </w:pPr>
      <w:r>
        <w:rPr>
          <w:rFonts w:ascii="Arial" w:hAnsi="Arial" w:eastAsia="Noto Sans CJK SC"/>
          <w:b/>
          <w:color w:val="1F4E78"/>
          <w:sz w:val="28"/>
        </w:rPr>
        <w:t>百大集团 600865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6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1F4E78"/>
                <w:sz w:val="22"/>
              </w:rPr>
              <w:t>控怪龙/空拐确认候选｜T日 9月8日｜9月9日为T+1｜H=5｜Hmax=5｜X=7｜Y=6｜零售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9月9日放量5连板，收盘换手18.79%。9月8日三只4板中仅它晋级，完成同组分离；但公司连续提示估值、经营与非理性炒作风险。9月10日5进6只等于摸Y。</w:t>
            </w:r>
          </w:p>
        </w:tc>
      </w:tr>
    </w:tbl>
    <w:p>
      <w:pPr>
        <w:spacing w:after="20"/>
      </w:pPr>
    </w:p>
    <w:p>
      <w:pPr>
        <w:pStyle w:val="Heading3"/>
        <w:keepNext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为什么属于本项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6→4→5构成压缩后的局部回升，百大来自最低4板拐点组并唯一晋级。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9月9日从低点13.82元到涨停15.11元，换手充分，客观上存在正常交易机会，因此9月10日不能称为T+2补救。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它不是断板龙：上方不是已确认的被动空间板，且缺少至少两层断档的完整结构。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它不是压突突破：当前H=5&lt;Y=6。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856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可观察条件与动作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超预期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条件：9:25仍有稳定封单，零售至少两只主动强化，高位跌停不扩散；开盘后不出现大幅撤单。动作：无持仓者仍不买，因为5进6只是摸Y；已有持仓者可保留观察仓，首次放量开板不能快速回封时减仓。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符合预期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条件：高开但封单一般，或换手后回封；零售联动中等。动作：无持仓者不追；已有持仓者以均价线和首次回封质量管理，跌破均价线且反抽无力时降低仓位。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低于预期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条件：竞价明显低于9月9日收盘，9:30后失守14.69元附近的9月9日均价参考，零售同组转弱，或高位核按钮扩散。动作：无持仓者放弃；已有持仓者利用反抽退出或显著减仓，不等“模式修复”。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禁止条件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任何体系内核跌停未打开；非ST跌停达到10家；5进6摸顶追板；封单快速衰减；开板后不能快速回封；14:35以后新增仓。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失效条件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跌破9月9日低点13.82元且不能快速收回；零售联动消失；同组空间代表性被替代；风险闸门继续UNKNOWN/CLOSED。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Noto Sans CJK SC"/>
          <w:b/>
          <w:color w:val="1F4E78"/>
          <w:sz w:val="28"/>
        </w:rPr>
        <w:t>亚盛集团 600108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6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1F4E78"/>
                <w:sz w:val="22"/>
              </w:rPr>
              <w:t>经典弱转强条件观察｜前期农业4板核心｜9月9日断板｜H=0（连续板中断）｜Hmax=5｜X=7｜Y=6｜农业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9月9日最高5.81元、收5.71元，涨8.14%，换手约40.55%；盘中三次封板未遂。它满足“前一日炸板/巨量分歧”的弱转强前置，但次日确认尚未发生。</w:t>
            </w:r>
          </w:p>
        </w:tc>
      </w:tr>
    </w:tbl>
    <w:p>
      <w:pPr>
        <w:spacing w:after="20"/>
      </w:pPr>
    </w:p>
    <w:p>
      <w:pPr>
        <w:pStyle w:val="Heading3"/>
        <w:keepNext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为什么属于本项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农业当日10只涨停，板块基础存在；亚盛此前4连板并具有高辨识度。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9月9日不是普通小阴，而是高换手炸板后仍收在高位，适合次日观察是否由分歧转一致。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暂不正式标为空转趋：前期空间锚身份与趋势破位线尚未完成体系内唯一确认。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弱转强是介入工具，不反向证明龙头身份。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856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可观察条件与动作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超预期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条件：9:25竞价不弱于5.71元附近，开盘15分钟带量越过9月9日高点5.81元，回踩分时均价线不破，农业至少两只前排同步强化。动作：只有风险闸门升级且上述条件全部成立，无持仓者才可小仓分批试错；已有持仓者可继续观察，不在直线加速末端追高加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符合预期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条件：竞价在5.55—5.71元区域，开盘先分歧但15分钟内收回5.71元与分时均价线，农业未明显退潮。动作：无持仓者等待第二次带量确认，不抢第一下；已有持仓者守承接，反抽不过5.71元时减仓。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低于预期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条件：竞价低于5.55元，或开盘后放量跌破5.55元且不能收回；农业高位负反馈扩散。动作：无持仓者放弃；已有持仓者以反抽均价线或前低附近处理退出，不把低开自动解释成洗盘。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禁止条件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风险闸门未升级；开盘无量上穿；反复跌破均价线；同题材金正大等完成有效分离而亚盛掉队；14:35以后新增仓。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失效条件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9月10日没有形成隔日弱转强；趋势关键位被放量跌破；农业联动消失；前期核心身份被新的唯一龙头替代。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Noto Sans CJK SC"/>
          <w:b/>
          <w:color w:val="1F4E78"/>
          <w:sz w:val="28"/>
        </w:rPr>
        <w:t>龙版传媒 605577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6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1F4E78"/>
                <w:sz w:val="22"/>
              </w:rPr>
              <w:t>空转趋标的池｜前期6板空间核心｜9月8日断板｜9月9日起停牌核查｜H不适用｜X=7｜Y=6｜AI视频/出版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8月31日至9月7日连续6个涨停，9月8日仍涨9.12%，累计涨幅约93.47%；9月9日起停牌核查。趋势未由收盘事实证伪，但当前客观不可买。</w:t>
            </w:r>
          </w:p>
        </w:tc>
      </w:tr>
    </w:tbl>
    <w:p>
      <w:pPr>
        <w:spacing w:after="20"/>
      </w:pPr>
    </w:p>
    <w:p>
      <w:pPr>
        <w:pStyle w:val="Heading3"/>
        <w:keepNext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为什么属于本项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前期空间核心身份明确，已有足够涨幅与人气沉淀。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断板后仍保持强趋势，因此可进入空转趋跟踪池。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停牌不是买点，也不能用停牌前涨幅倒推出复牌盘口。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856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可观察条件与动作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超预期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复牌后若竞价、量能、板块与风险闸门共同超预期，只重新建立观察账本；停牌期间无持仓者与已有持仓者均无盘中动作。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符合预期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复牌信息与价格未公布前无法定义；统一写待确认。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低于预期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复牌后出现核按钮、无法收回关键价位、AI视频方向无联动，视为低于预期；无持仓不买，已有持仓按复牌实时流动性处理。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禁止条件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停牌期间任何买入描述；以停牌为强势证明；把9月8日+9.12%误写为龙头首阴；用一般K线猜测4K/6K。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失效条件</w:t>
            </w:r>
          </w:p>
        </w:tc>
        <w:tc>
          <w:tcPr>
            <w:tcW w:type="dxa" w:w="85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8"/>
              </w:rPr>
              <w:t>复牌后主升趋势确认终结，或监管与风险闸门继续否决；具体破位线需按复牌后新K线重算。</w:t>
            </w:r>
          </w:p>
        </w:tc>
      </w:tr>
    </w:tbl>
    <w:p>
      <w:pPr>
        <w:spacing w:after="40"/>
      </w:pPr>
    </w:p>
    <w:p>
      <w:pPr>
        <w:pStyle w:val="Heading2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三板同身位观察组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股票</w:t>
            </w:r>
          </w:p>
        </w:tc>
        <w:tc>
          <w:tcPr>
            <w:tcW w:type="dxa" w:w="1296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24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9月9日状态</w:t>
            </w:r>
          </w:p>
        </w:tc>
        <w:tc>
          <w:tcPr>
            <w:tcW w:type="dxa" w:w="410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9月10日只观察什么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金正大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002470</w:t>
            </w:r>
          </w:p>
        </w:tc>
        <w:tc>
          <w:tcPr>
            <w:tcW w:type="dxa" w:w="32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3连板，农业/化肥，7天4板反包口径</w:t>
            </w:r>
          </w:p>
        </w:tc>
        <w:tc>
          <w:tcPr>
            <w:tcW w:type="dxa" w:w="41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是否为同组第一有效4板且农业梯队强化；N+累计不改连续板H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华脉科技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603042</w:t>
            </w:r>
          </w:p>
        </w:tc>
        <w:tc>
          <w:tcPr>
            <w:tcW w:type="dxa" w:w="32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3连板，通信</w:t>
            </w:r>
          </w:p>
        </w:tc>
        <w:tc>
          <w:tcPr>
            <w:tcW w:type="dxa" w:w="41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09:20后封单是否稳定；不得以9:25一字直接替代换手确认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中百集团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000759</w:t>
            </w:r>
          </w:p>
        </w:tc>
        <w:tc>
          <w:tcPr>
            <w:tcW w:type="dxa" w:w="32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3连板，零售，换手28.37%</w:t>
            </w:r>
          </w:p>
        </w:tc>
        <w:tc>
          <w:tcPr>
            <w:tcW w:type="dxa" w:w="41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是否真正超越百大外的零售助攻并率先有效封板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桂林旅游</w:t>
            </w:r>
          </w:p>
        </w:tc>
        <w:tc>
          <w:tcPr>
            <w:tcW w:type="dxa" w:w="1296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000978</w:t>
            </w:r>
          </w:p>
        </w:tc>
        <w:tc>
          <w:tcPr>
            <w:tcW w:type="dxa" w:w="324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3连板，旅游，换手26.04%</w:t>
            </w:r>
          </w:p>
        </w:tc>
        <w:tc>
          <w:tcPr>
            <w:tcW w:type="dxa" w:w="41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午后板出身，次日必须用竞价与板块联动证明超预期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Arial" w:hAnsi="Arial" w:eastAsia="Noto Sans CJK SC"/>
          <w:b w:val="0"/>
          <w:color w:val="B91C1C"/>
          <w:sz w:val="21"/>
        </w:rPr>
        <w:t>结论：四只只是“分离观察组”，不是盘前买入清单。必须先有上游模式身份，再由同组第一有效封板完成确认；如果都能轻松买到或胜出者炸板后被反卡，全部放弃。</w:t>
      </w:r>
    </w:p>
    <w:p>
      <w:r>
        <w:br w:type="page"/>
      </w: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7 9:15—14:35盘中执行清单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11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观察信号</w:t>
            </w:r>
          </w:p>
        </w:tc>
        <w:tc>
          <w:tcPr>
            <w:tcW w:type="dxa" w:w="338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9:15—9:20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初看跌停榜、核跌停池、百大封单、龙版是否仍停牌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只记录，不抢跑，不依据虚假竞价下单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9:20—9:25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撤单后的真实封单；非ST跌停是否个位数；核跌停是否全部实际打开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任一项不明，风险闸门维持UNKNOWN，取消全部主动新仓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9:30—9:45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百大是否撤单/开板；亚盛能否带量越过5.81并守均价；三板组谁第一有效封板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只执行预设条件；百大5进6不买；分离未确认不买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9:45以后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板块助攻数量、回封质量、高位负反馈是否扩散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没有至少两只主动联动，候选降级；炸板后不能快速回封则放弃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午后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风险闸门复核；上午胜出者是否被反卡；题材是否从一致转分歧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不因午后拉升临时新增股票；只管理已有持仓</w:t>
            </w:r>
          </w:p>
        </w:tc>
      </w:tr>
      <w:tr>
        <w:trPr>
          <w:cantSplit/>
        </w:trPr>
        <w:tc>
          <w:tcPr>
            <w:tcW w:type="dxa" w:w="15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14:35以后</w:t>
            </w:r>
          </w:p>
        </w:tc>
        <w:tc>
          <w:tcPr>
            <w:tcW w:type="dxa" w:w="511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不再寻找新买点</w:t>
            </w:r>
          </w:p>
        </w:tc>
        <w:tc>
          <w:tcPr>
            <w:tcW w:type="dxa" w:w="338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绝对不新增仓；仅持仓风控</w:t>
            </w:r>
          </w:p>
        </w:tc>
      </w:tr>
    </w:tbl>
    <w:p>
      <w:pPr>
        <w:spacing w:after="40"/>
      </w:pP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8 修复 分化 退潮三套剧本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152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剧本</w:t>
            </w:r>
          </w:p>
        </w:tc>
        <w:tc>
          <w:tcPr>
            <w:tcW w:type="dxa" w:w="432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客观信号</w:t>
            </w:r>
          </w:p>
        </w:tc>
        <w:tc>
          <w:tcPr>
            <w:tcW w:type="dxa" w:w="230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无持仓</w:t>
            </w:r>
          </w:p>
        </w:tc>
        <w:tc>
          <w:tcPr>
            <w:tcW w:type="dxa" w:w="230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已有持仓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修复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跌停个位数且核跌停全开；亚盛/三板组有唯一强者；板块至少两只助攻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仅对已写明候选小仓试错；百大摸Y仍不买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强者守均价与回封；不追加速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分化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百大强、其他高位弱；或农业与零售互相卡位，连板晋级继续低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等待唯一分离，不买第二名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掉队立即按个股证伪处理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退潮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非ST跌停≥10、核跌停未开、百大/亚盛快速强转弱、高位A杀扩散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空仓观察</w:t>
            </w:r>
          </w:p>
        </w:tc>
        <w:tc>
          <w:tcPr>
            <w:tcW w:type="dxa" w:w="230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反抽减仓或退出，不等尾盘修复</w:t>
            </w:r>
          </w:p>
        </w:tc>
      </w:tr>
    </w:tbl>
    <w:p>
      <w:pPr>
        <w:spacing w:after="40"/>
      </w:pP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9 后续T阶段跟踪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08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180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T日</w:t>
            </w:r>
          </w:p>
        </w:tc>
        <w:tc>
          <w:tcPr>
            <w:tcW w:type="dxa" w:w="1800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655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机会状态</w:t>
            </w:r>
          </w:p>
        </w:tc>
        <w:tc>
          <w:tcPr>
            <w:tcW w:type="dxa" w:w="3168"/>
            <w:shd w:fill="1F4E7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后续规则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百大集团</w:t>
            </w:r>
          </w:p>
        </w:tc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控怪龙/空拐候选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9月8日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9月9日T+1已结束</w:t>
            </w:r>
          </w:p>
        </w:tc>
        <w:tc>
          <w:tcPr>
            <w:tcW w:type="dxa" w:w="1655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已给正常机会</w:t>
            </w:r>
          </w:p>
        </w:tc>
        <w:tc>
          <w:tcPr>
            <w:tcW w:type="dxa" w:w="31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9月10日不得称T+2补救；若到6板只是摸Y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龙版传媒</w:t>
            </w:r>
          </w:p>
        </w:tc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空转趋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9月8日断板入池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停牌</w:t>
            </w:r>
          </w:p>
        </w:tc>
        <w:tc>
          <w:tcPr>
            <w:tcW w:type="dxa" w:w="1655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客观不可买</w:t>
            </w:r>
          </w:p>
        </w:tc>
        <w:tc>
          <w:tcPr>
            <w:tcW w:type="dxa" w:w="31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复牌日重建盘口预期，不机械顺延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亚盛集团</w:t>
            </w:r>
          </w:p>
        </w:tc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经典弱转强工具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9月9日前置弱势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9月10日确认窗</w:t>
            </w:r>
          </w:p>
        </w:tc>
        <w:tc>
          <w:tcPr>
            <w:tcW w:type="dxa" w:w="1655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尚未出现</w:t>
            </w:r>
          </w:p>
        </w:tc>
        <w:tc>
          <w:tcPr>
            <w:tcW w:type="dxa" w:w="31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只有次日客观转强才成立；失败即失效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三板竞争组</w:t>
            </w:r>
          </w:p>
        </w:tc>
        <w:tc>
          <w:tcPr>
            <w:tcW w:type="dxa" w:w="208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分离确认工具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无独立T日</w:t>
            </w:r>
          </w:p>
        </w:tc>
        <w:tc>
          <w:tcPr>
            <w:tcW w:type="dxa" w:w="180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9月10日确认窗</w:t>
            </w:r>
          </w:p>
        </w:tc>
        <w:tc>
          <w:tcPr>
            <w:tcW w:type="dxa" w:w="1655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待确认</w:t>
            </w:r>
          </w:p>
        </w:tc>
        <w:tc>
          <w:tcPr>
            <w:tcW w:type="dxa" w:w="316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3F4F6"/>
          </w:tcPr>
          <w:p>
            <w:pPr>
              <w:spacing w:after="0" w:line="247" w:lineRule="auto"/>
            </w:pPr>
            <w:r>
              <w:rPr>
                <w:rFonts w:ascii="Arial" w:hAnsi="Arial" w:eastAsia="Noto Sans CJK SC"/>
                <w:b w:val="0"/>
                <w:color w:val="222222"/>
                <w:sz w:val="16"/>
              </w:rPr>
              <w:t>同组只认一个，分离本身不创造模式身份</w:t>
            </w:r>
          </w:p>
        </w:tc>
      </w:tr>
    </w:tbl>
    <w:p>
      <w:pPr>
        <w:spacing w:after="40"/>
      </w:pP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10 待确认事项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9月10日9:20—9:25，用户体系内一字核跌停完整名单及每只是否已经实际打开。公开收盘涨跌幅不能替代逐笔确认。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百大集团9月10日竞价封单撤单速度、开板次数和回封量；即便封6板也只属于摸Y。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亚盛集团9月10日竞价量、是否带量越过5.81元以及回踩均价线的承接。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三板组首封先后、封板有效性和反卡情况；收盘资料无法预先确认。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龙版传媒复牌日期与复牌公告；停牌期间不设交易动作。</w:t>
      </w:r>
    </w:p>
    <w:p>
      <w:pPr>
        <w:pStyle w:val="ListBullet"/>
        <w:spacing w:after="40" w:line="259" w:lineRule="auto"/>
      </w:pPr>
      <w:r>
        <w:rPr>
          <w:rFonts w:ascii="Arial" w:hAnsi="Arial" w:eastAsia="Noto Sans CJK SC"/>
          <w:b w:val="0"/>
          <w:color w:val="222222"/>
          <w:sz w:val="20"/>
        </w:rPr>
        <w:t>4K与6K完整量价参数在当前可读取原始资料中仍不足，继续标记体系依据不足。</w:t>
      </w:r>
    </w:p>
    <w:p>
      <w:pPr>
        <w:pStyle w:val="Heading1"/>
        <w:spacing w:after="80" w:line="269" w:lineRule="auto"/>
      </w:pPr>
      <w:r>
        <w:rPr>
          <w:rFonts w:ascii="Arial" w:hAnsi="Arial" w:eastAsia="Noto Sans CJK SC"/>
          <w:b w:val="0"/>
          <w:color w:val="222222"/>
          <w:sz w:val="21"/>
        </w:rPr>
        <w:t>11 数据来源</w:t>
      </w:r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1. 上交所 2026年休市安排：确认9月10日为正常交易日。</w:t>
      </w:r>
      <w:hyperlink r:id="rId9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2. 连板网 2026-09-09收盘复盘：48涨停、7跌停、15连板、最高5板、梯队与首封。</w:t>
      </w:r>
      <w:hyperlink r:id="rId10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3. 财联社经新浪财经转载 2026-09-09 16:01：连板晋级27.78%、高位负反馈、农业与航运。</w:t>
      </w:r>
      <w:hyperlink r:id="rId11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4. 东方财富Choice 2026-09-09 16:13：49涨停、28触板未封、指数与成交额。</w:t>
      </w:r>
      <w:hyperlink r:id="rId12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5. 证券时报数据宝 2026-09-09 16:14：49涨停、9跌停、个股换手与封单。</w:t>
      </w:r>
      <w:hyperlink r:id="rId13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6. 百大集团5连板统计：5连板、盘中换手与封单。</w:t>
      </w:r>
      <w:hyperlink r:id="rId14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7. 百大集团异常波动公告：估值、经营与非理性炒作风险。</w:t>
      </w:r>
      <w:hyperlink r:id="rId15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8. 龙版传媒停牌核查报道：连续6板、9月8日涨9.12%、9月9日起停牌。</w:t>
      </w:r>
      <w:hyperlink r:id="rId16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9. 亚盛集团龙虎榜/行情：9月9日收5.71元、涨8.14%、换手约40.55%。</w:t>
      </w:r>
      <w:hyperlink r:id="rId17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60"/>
      </w:pPr>
      <w:r>
        <w:rPr>
          <w:rFonts w:ascii="Arial" w:hAnsi="Arial" w:eastAsia="Noto Sans CJK SC"/>
          <w:b w:val="0"/>
          <w:color w:val="222222"/>
          <w:sz w:val="18"/>
        </w:rPr>
        <w:t>10. 最近五日复盘：9月3、4、7、8、9日高度与情绪序列。</w:t>
      </w:r>
      <w:hyperlink r:id="rId18">
        <w:r>
          <w:rPr>
            <w:color w:val="1F4E78"/>
            <w:u w:val="single"/>
            <w:rFonts w:ascii="Arial" w:hAnsi="Arial" w:eastAsia="Noto Sans CJK SC"/>
            <w:sz w:val="18"/>
          </w:rPr>
          <w:t>链接</w:t>
        </w:r>
      </w:hyperlink>
    </w:p>
    <w:p>
      <w:pPr>
        <w:spacing w:after="80" w:line="269" w:lineRule="auto"/>
      </w:pPr>
      <w:r>
        <w:rPr>
          <w:rFonts w:ascii="Arial" w:hAnsi="Arial" w:eastAsia="Noto Sans CJK SC"/>
          <w:b w:val="0"/>
          <w:color w:val="5F6B76"/>
          <w:sz w:val="18"/>
        </w:rPr>
        <w:t>口径说明：连板高度统一使用严格连续涨停，不用N+反包累计替代。涨停、跌停总数因是否计入ST及统计时点存在差异；报告保留差异，不用单一口径倒推盘口。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rial" w:hAnsi="Arial" w:eastAsia="Noto Sans CJK SC"/>
                <w:b/>
                <w:color w:val="5F6B76"/>
                <w:sz w:val="22"/>
              </w:rPr>
              <w:t>风险提示</w:t>
            </w:r>
          </w:p>
          <w:p>
            <w:pPr>
              <w:spacing w:after="0" w:line="269" w:lineRule="auto"/>
            </w:pPr>
            <w:r>
              <w:rPr>
                <w:rFonts w:ascii="Arial" w:hAnsi="Arial" w:eastAsia="Noto Sans CJK SC"/>
                <w:b w:val="0"/>
                <w:color w:val="222222"/>
                <w:sz w:val="20"/>
              </w:rPr>
              <w:t>本报告用于执行和复核用户提供的私有交易规则，不构成投资建议。高位连板股可能快速跌停或无法成交；所有动作以实时公告、竞价、成交和个人风险承受能力为准。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7A7A7A"/>
        <w:sz w:val="16"/>
      </w:rPr>
      <w:t>2026年9月10日 A股模式股盘前操作策略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F6B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dealinstruc/closed/c/c_20251222_10802510.shtml" TargetMode="External"/><Relationship Id="rId10" Type="http://schemas.openxmlformats.org/officeDocument/2006/relationships/hyperlink" Target="https://lianban.net/days/2026-09-09.html" TargetMode="External"/><Relationship Id="rId11" Type="http://schemas.openxmlformats.org/officeDocument/2006/relationships/hyperlink" Target="https://finance.sina.com.cn/roll/2026-09-09/doc-inirfivw3779405.shtml" TargetMode="External"/><Relationship Id="rId12" Type="http://schemas.openxmlformats.org/officeDocument/2006/relationships/hyperlink" Target="https://fund.eastmoney.com/a/202609093869328718.html" TargetMode="External"/><Relationship Id="rId13" Type="http://schemas.openxmlformats.org/officeDocument/2006/relationships/hyperlink" Target="https://finance.eastmoney.com/a/202609093869338641.html" TargetMode="External"/><Relationship Id="rId14" Type="http://schemas.openxmlformats.org/officeDocument/2006/relationships/hyperlink" Target="https://finance.eastmoney.com/a/202609093869111170.html" TargetMode="External"/><Relationship Id="rId15" Type="http://schemas.openxmlformats.org/officeDocument/2006/relationships/hyperlink" Target="https://data.eastmoney.com/notices/detail/600865/AN202609081829133111.html" TargetMode="External"/><Relationship Id="rId16" Type="http://schemas.openxmlformats.org/officeDocument/2006/relationships/hyperlink" Target="https://news.qq.com/rain/a/20260909A0440W00" TargetMode="External"/><Relationship Id="rId17" Type="http://schemas.openxmlformats.org/officeDocument/2006/relationships/hyperlink" Target="https://data.eastmoney.com/stock/lhb/600108.html" TargetMode="External"/><Relationship Id="rId18" Type="http://schemas.openxmlformats.org/officeDocument/2006/relationships/hyperlink" Target="https://lianban.net/days/2026-09-08.html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2026年9月10日 A股模式股盘前操作策略</dc:title>
  <dc:subject>基于2026年9月9日收盘的私有体系盘前执行报告</dc:subject>
  <dc:creator/>
  <cp:keywords>A股, 空间体系, 压突, 盘前策略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