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rial" w:hAnsi="Arial" w:eastAsia="Noto Sans CJK SC"/>
          <w:b/>
          <w:color w:val="171717"/>
          <w:sz w:val="44"/>
        </w:rPr>
        <w:t>2026年9月11日 A股模式股盘前操作策略</w:t>
      </w:r>
    </w:p>
    <w:p>
      <w:pPr>
        <w:spacing w:after="140"/>
        <w:jc w:val="center"/>
      </w:pPr>
      <w:r>
        <w:rPr>
          <w:rFonts w:ascii="Arial" w:hAnsi="Arial" w:eastAsia="Noto Sans CJK SC"/>
          <w:b w:val="0"/>
          <w:color w:val="5B6573"/>
          <w:sz w:val="21"/>
        </w:rPr>
        <w:t>基于2026年9月10日收盘</w:t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1 首页执行结论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81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75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日期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analysis_date：2026-09-10 17:33（北京时间）</w:t>
              <w:br/>
              <w:t>latest_market_date：2026-09-10</w:t>
              <w:br/>
              <w:t>target_trade_date：2026-09-11</w:t>
            </w:r>
          </w:p>
        </w:tc>
        <w:tc>
          <w:tcPr>
            <w:tcW w:type="dxa" w:w="47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9月11日为正常A股交易日。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风险闸门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UNKNOWN，按CLOSED处理</w:t>
            </w:r>
          </w:p>
        </w:tc>
        <w:tc>
          <w:tcPr>
            <w:tcW w:type="dxa" w:w="47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非ST跌停、核跌停打开与高位负反馈未完成实时核验前，禁止主动新开仓。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五变量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Hmax=4｜X=7｜C=4｜Y=6｜核心H：桂林旅游=4</w:t>
            </w:r>
          </w:p>
        </w:tc>
        <w:tc>
          <w:tcPr>
            <w:tcW w:type="dxa" w:w="47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X≠C≠Y；逐票H单独记录。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明日第一次验证对象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桂林旅游 000978：T+1身份验证</w:t>
            </w:r>
          </w:p>
        </w:tc>
        <w:tc>
          <w:tcPr>
            <w:tcW w:type="dxa" w:w="47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只验证“有望成为狭义空接龙＋空中飘”是否成立；空中飘T+1常规接力默认舍弃。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盘中条件预案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云煤能源 600792：潜在超级先手触发池</w:t>
            </w:r>
          </w:p>
        </w:tc>
        <w:tc>
          <w:tcPr>
            <w:tcW w:type="dxa" w:w="47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仅当桂林明确淘汰、云煤成为唯一最高空间并在规定时段主动封4板/回封，且风险闸门解除时才验证。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新开仓结论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无新开仓候选</w:t>
            </w:r>
          </w:p>
        </w:tc>
        <w:tc>
          <w:tcPr>
            <w:tcW w:type="dxa" w:w="47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关键风险未知；瑞尔特连续一字特殊排除；其余不满足首次窗口。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pPr>
        <w:keepNext w:val="0"/>
        <w:spacing w:after="80" w:line="259" w:lineRule="auto"/>
      </w:pPr>
      <w:r>
        <w:rPr>
          <w:rFonts w:ascii="Arial" w:hAnsi="Arial" w:eastAsia="Noto Sans CJK SC"/>
          <w:b/>
          <w:color w:val="A61B1B"/>
          <w:sz w:val="20"/>
        </w:rPr>
        <w:t>总操作原则：先风险、后身份、再买点；未核验即不做。14:35以后不新增仓。</w:t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5B6573"/>
          <w:sz w:val="17"/>
        </w:rPr>
        <w:t>仅用于整理用户私有交易理论，不构成投资建议。</w:t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2 日期与风险总闸门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上海证券交易所2026年休市安排显示，9月11日不在休市区间；9月10日已完整收盘。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收盘广度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连板网口径：35涨停、11跌停、22炸板、封板率61.4%，上涨955家/下跌4512家；另一可靠口径为40涨停、13跌停。保留差异。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连板反馈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昨日连板晋级3/15=20%；百大集团5进6失败，华脉科技、金正大、泸天化等高位大幅负反馈。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公开总跌停数9月10日已≥10，但9月9日为7或9；尚不构成“非ST连续两日≥10”的已确认事实。非ST精确口径仍待核。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闸门结论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UNKNOWN，按CLOSED处理。未知项包括非ST跌停精确数、核跌停是否批量打开、竞价与逐笔盘口。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升级检查</w:t>
            </w:r>
          </w:p>
        </w:tc>
        <w:tc>
          <w:tcPr>
            <w:tcW w:type="dxa" w:w="561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必须看到</w:t>
            </w:r>
          </w:p>
        </w:tc>
        <w:tc>
          <w:tcPr>
            <w:tcW w:type="dxa" w:w="2664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否则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09:15—09:25风险复核</w:t>
            </w:r>
          </w:p>
        </w:tc>
        <w:tc>
          <w:tcPr>
            <w:tcW w:type="dxa" w:w="56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非ST跌停精确数已核验；近期A杀核心批量企稳/打开；无新增高位一字跌停；成交可用。</w:t>
            </w:r>
          </w:p>
        </w:tc>
        <w:tc>
          <w:tcPr>
            <w:tcW w:type="dxa" w:w="266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任一未核验，维持UNKNOWN/CLOSED。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允许降为TIGHT</w:t>
            </w:r>
          </w:p>
        </w:tc>
        <w:tc>
          <w:tcPr>
            <w:tcW w:type="dxa" w:w="56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上述关键项完整且未触发强制空仓；高位负反馈不再扩散。</w:t>
            </w:r>
          </w:p>
        </w:tc>
        <w:tc>
          <w:tcPr>
            <w:tcW w:type="dxa" w:w="266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不得凭指数红盘或单只高标封板升级。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OPEN</w:t>
            </w:r>
          </w:p>
        </w:tc>
        <w:tc>
          <w:tcPr>
            <w:tcW w:type="dxa" w:w="56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需要全部关键项通过且无共振预警。</w:t>
            </w:r>
          </w:p>
        </w:tc>
        <w:tc>
          <w:tcPr>
            <w:tcW w:type="dxa" w:w="266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本报告不预设OPEN。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3 五变量与空间主干账本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368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93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09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79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79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240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36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9月4日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5</w:t>
            </w:r>
          </w:p>
        </w:tc>
        <w:tc>
          <w:tcPr>
            <w:tcW w:type="dxa" w:w="309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龙版传媒5板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7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</w:t>
            </w:r>
          </w:p>
        </w:tc>
        <w:tc>
          <w:tcPr>
            <w:tcW w:type="dxa" w:w="32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空间压缩期</w:t>
            </w:r>
          </w:p>
        </w:tc>
      </w:tr>
      <w:tr>
        <w:trPr>
          <w:cantSplit/>
        </w:trPr>
        <w:tc>
          <w:tcPr>
            <w:tcW w:type="dxa" w:w="136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9月7日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6</w:t>
            </w:r>
          </w:p>
        </w:tc>
        <w:tc>
          <w:tcPr>
            <w:tcW w:type="dxa" w:w="309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龙版传媒6板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7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</w:t>
            </w:r>
          </w:p>
        </w:tc>
        <w:tc>
          <w:tcPr>
            <w:tcW w:type="dxa" w:w="32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摸压突天花板</w:t>
            </w:r>
          </w:p>
        </w:tc>
      </w:tr>
      <w:tr>
        <w:trPr>
          <w:cantSplit/>
        </w:trPr>
        <w:tc>
          <w:tcPr>
            <w:tcW w:type="dxa" w:w="136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9月8日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</w:t>
            </w:r>
          </w:p>
        </w:tc>
        <w:tc>
          <w:tcPr>
            <w:tcW w:type="dxa" w:w="309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亚盛/百大/爱仕达4板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7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</w:t>
            </w:r>
          </w:p>
        </w:tc>
        <w:tc>
          <w:tcPr>
            <w:tcW w:type="dxa" w:w="32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6→4断层压缩</w:t>
            </w:r>
          </w:p>
        </w:tc>
      </w:tr>
      <w:tr>
        <w:trPr>
          <w:cantSplit/>
        </w:trPr>
        <w:tc>
          <w:tcPr>
            <w:tcW w:type="dxa" w:w="136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9月9日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5</w:t>
            </w:r>
          </w:p>
        </w:tc>
        <w:tc>
          <w:tcPr>
            <w:tcW w:type="dxa" w:w="309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百大集团5板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7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</w:t>
            </w:r>
          </w:p>
        </w:tc>
        <w:tc>
          <w:tcPr>
            <w:tcW w:type="dxa" w:w="32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4→5局部回升</w:t>
            </w:r>
          </w:p>
        </w:tc>
      </w:tr>
      <w:tr>
        <w:trPr>
          <w:cantSplit/>
        </w:trPr>
        <w:tc>
          <w:tcPr>
            <w:tcW w:type="dxa" w:w="136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9月10日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</w:t>
            </w:r>
          </w:p>
        </w:tc>
        <w:tc>
          <w:tcPr>
            <w:tcW w:type="dxa" w:w="309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桂林旅游4板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7</w:t>
            </w:r>
          </w:p>
        </w:tc>
        <w:tc>
          <w:tcPr>
            <w:tcW w:type="dxa" w:w="7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</w:t>
            </w:r>
          </w:p>
        </w:tc>
        <w:tc>
          <w:tcPr>
            <w:tcW w:type="dxa" w:w="32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5→4再压缩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008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值</w:t>
            </w:r>
          </w:p>
        </w:tc>
        <w:tc>
          <w:tcPr>
            <w:tcW w:type="dxa" w:w="777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Hmax</w:t>
            </w:r>
          </w:p>
        </w:tc>
        <w:tc>
          <w:tcPr>
            <w:tcW w:type="dxa" w:w="100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4</w:t>
            </w:r>
          </w:p>
        </w:tc>
        <w:tc>
          <w:tcPr>
            <w:tcW w:type="dxa" w:w="77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客观最高真实连续板：桂林旅游4连板。公告/反包不累计。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X</w:t>
            </w:r>
          </w:p>
        </w:tc>
        <w:tc>
          <w:tcPr>
            <w:tcW w:type="dxa" w:w="100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7</w:t>
            </w:r>
          </w:p>
        </w:tc>
        <w:tc>
          <w:tcPr>
            <w:tcW w:type="dxa" w:w="77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有效空间主干未出现P0规定的全淘汰重置证据，按当日账本维持7；非空间票失败不改X。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C</w:t>
            </w:r>
          </w:p>
        </w:tc>
        <w:tc>
          <w:tcPr>
            <w:tcW w:type="dxa" w:w="100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4</w:t>
            </w:r>
          </w:p>
        </w:tc>
        <w:tc>
          <w:tcPr>
            <w:tcW w:type="dxa" w:w="77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C=clamp(X−3,3,5)=4。未触发连续两轮T+1锚定梯队全淘汰或连续两次压在3板及以下的重算。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Y</w:t>
            </w:r>
          </w:p>
        </w:tc>
        <w:tc>
          <w:tcPr>
            <w:tcW w:type="dxa" w:w="100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6</w:t>
            </w:r>
          </w:p>
        </w:tc>
        <w:tc>
          <w:tcPr>
            <w:tcW w:type="dxa" w:w="77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沿用最近已验证天花板6；本轮账本未完整保留两个连续A/B来源的日期与类型，故不得用9月10日单次失败重算。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H</w:t>
            </w:r>
          </w:p>
        </w:tc>
        <w:tc>
          <w:tcPr>
            <w:tcW w:type="dxa" w:w="100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逐票</w:t>
            </w:r>
          </w:p>
        </w:tc>
        <w:tc>
          <w:tcPr>
            <w:tcW w:type="dxa" w:w="77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桂林4；瑞尔特3；云煤3；百大断板，连续H归零。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/>
          <w:color w:val="A61B1B"/>
          <w:sz w:val="20"/>
        </w:rPr>
        <w:t>强制标记：X≠C≠Y。当前 Hmax=4=C&lt;Y=6；“通过C”只是筛选资格，不等于买点。</w:t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5B6573"/>
          <w:sz w:val="18"/>
        </w:rPr>
        <w:t>Y来源账本受控说明：9月8日龙版传媒6进7失败可能构成A类来源，但缺少与之连续的第二条有效A/B完整记录；9月10日百大失败不能仅因高位失败自动计入。Y=6仅作最近已验证值沿用。</w:t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4 target_trade_date第一次可操作/验证对象</w:t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F4E78"/>
          <w:sz w:val="24"/>
        </w:rPr>
        <w:t>桂林旅游 000978｜第一次身份验证对象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基础字段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题材：旅游/AI应用｜严格H=4｜Hmax=4｜X=7｜C=4｜Y=6｜公告/连续一字/停牌：否｜被动空间：未确认。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首次身份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2026-09-10首次成为客观唯一最高空间，H=C，通过C；旅游梯队有云南旅游、张家界等联动。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身份预期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有望成为广义空接龙；细分预期可叠加“有望成为狭义自然空接龙＋有望成为空中飘”。不得在T日收盘写成最终确认。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时间层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T日：2026-09-10；latest_market_date阶段：T日收盘；target_trade_date：2026-09-11，T+1验证窗；首次身份验证仍有效。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9月10日超级先手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否。09:25已封板，不在13:30—14:35主动封板/回封窗口；百大开盘涨停后回落但未快速核至跌停。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9月11日价值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身份验证有价值；空中飘T+1常规接力按高确定性策略默认舍弃/观察。风险UNKNOWN时无持仓者禁止新开仓。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成立依据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5→4再压缩；桂林成为唯一4板；H≤C；题材存在涨停联动；非公告连续一字。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排除/混淆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不是控怪龙：尚未从本次最低压缩点重新走高。不是断板龙：缺少上方被动空间与至少两层断档。不是压突：H=4&lt;Y=6。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数据缺口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9月11日竞价撤单、封单、均价承接、开板次数、回封量、同身位盘口均待盘中确认。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15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4320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37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37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超预期</w:t>
            </w:r>
          </w:p>
        </w:tc>
        <w:tc>
          <w:tcPr>
            <w:tcW w:type="dxa" w:w="432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09:20后封单稳定；旅游至少两只主动强化；高位跌停不扩散；开板后快速主动回封。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风险未解除仍不买；即使身份强化，也不追空中飘T+1。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可继续观察；首次放量开板不能快速回封则减仓。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符合预期</w:t>
            </w:r>
          </w:p>
        </w:tc>
        <w:tc>
          <w:tcPr>
            <w:tcW w:type="dxa" w:w="432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小幅高开/平开，换手后能守9月10日收盘9.69元和分时均价，并完成有效回封；旅游联动一般。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不抢；只记录T+1身份是否成立。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以均价与回封质量管理，不加速追仓。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低预期</w:t>
            </w:r>
          </w:p>
        </w:tc>
        <w:tc>
          <w:tcPr>
            <w:tcW w:type="dxa" w:w="432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竞价明显转弱；开盘失守9.69元后不能收回；旅游无助攻；同梯队反卡；高位A杀扩散。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放弃。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反抽减仓或退出，不等模式修复。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/>
          <w:color w:val="A61B1B"/>
          <w:sz w:val="18"/>
        </w:rPr>
        <w:t>绝对禁止：风险闸门UNKNOWN/CLOSED；摸不清核跌停；并列空间未分离；封单快速撤单；剧烈炸板且不回封；14:35以后新开仓。</w:t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171717"/>
          <w:sz w:val="19"/>
        </w:rPr>
        <w:t>失效/证伪：不能保持最高空间代表性、旅游梯队瓦解、收盘断板或被同组唯一强者替代；当日介入点与模式身份分别记录。</w:t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5 今天盘中超级先手结果与明天常规节点（分池）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1800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223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381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理由/动作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9月10日已结束的超级先手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桂林旅游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未成立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09:25封板，不符合常规13:30—14:35确认；不得写成9月11日新开仓机会。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9月10日已结束的超级先手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其他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无符合条件候选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缺少“唯一最高＋老空间淘汰＋规定时段主动封板/回封＋风险可用”的完整证据。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9月11日常规节点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桂林旅游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T+1身份验证；接力默认舍弃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只验证预期成立/强化/证伪。无持仓不主动买。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9月11日盘中待触发超级先手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云煤能源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条件池，不是盘前买点</w:t>
            </w:r>
          </w:p>
        </w:tc>
        <w:tc>
          <w:tcPr>
            <w:tcW w:type="dxa" w:w="381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若桂林明确淘汰、云煤成为唯一最高，按时主动封4板/回封且通过风险、振幅和题材过滤，才进入确认。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F4E78"/>
          <w:sz w:val="24"/>
        </w:rPr>
        <w:t>云煤能源 600792｜9月11日盘中待触发超级先手条件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基础字段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焦炭/煤化工｜严格H=3｜Hmax=4｜X=7｜C=4｜Y=6｜8天4板属于反包语境，不改严格H。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身份层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9月10日不是新空间，不能预先命名空接龙；仅作为9月11日可能逐级上位的盘中触发池。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9月10日盘口事实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开盘接近涨停，最低5.01元，尾盘回封5.41元；振幅8.13%，成交8.22亿元、换手13.97%。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常规触发时间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13:30—14:35。届时桂林已明显失效，瑞尔特等同层不能构成有效竞争，云煤成为唯一最高，并主动封4板或炸板回封。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特殊提前情形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只有桂林开盘后快速核至跌停且基本确认淘汰，才可提前逐级筛选；仍只认同层唯一至强者。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必须同时满足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10cm日内振幅≤9.99个百分点；焦炭/煤化工有主动联动；风险闸门不为CLOSED/UNKNOWN；成交可用；不在14:35后。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无持仓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条件全部成立才允许按体系打板/回封确认；不低吸、不半路。任一项未知即不做。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已有持仓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守主动封板/回封质量；失去唯一空间或回封失败时减仓/退出。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失效</w:t>
            </w:r>
          </w:p>
        </w:tc>
        <w:tc>
          <w:tcPr>
            <w:tcW w:type="dxa" w:w="79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7"/>
              </w:rPr>
              <w:t>桂林仍强、出现并列空间未分离、瑞尔特有效反卡、分时振幅超限、板块无联动、风险闸门关闭或14:35后。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6 T日“有望成为”预选池与逐票淘汰原因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3024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403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桂林旅游 000978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4/4</w:t>
            </w:r>
          </w:p>
        </w:tc>
        <w:tc>
          <w:tcPr>
            <w:tcW w:type="dxa" w:w="302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通过：有望成为广义空接龙；细分可叠加狭义空接龙＋空中飘</w:t>
            </w:r>
          </w:p>
        </w:tc>
        <w:tc>
          <w:tcPr>
            <w:tcW w:type="dxa" w:w="40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首次唯一最高、H≤C、题材有梯队；T+1接力默认舍弃，身份待验证。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瑞尔特 002790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3/4</w:t>
            </w:r>
          </w:p>
        </w:tc>
        <w:tc>
          <w:tcPr>
            <w:tcW w:type="dxa" w:w="302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排除常规广义空接</w:t>
            </w:r>
          </w:p>
        </w:tc>
        <w:tc>
          <w:tcPr>
            <w:tcW w:type="dxa" w:w="40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9月10日一字全天，起手连续一字特殊处理；尚无高位连续两日有效换手。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云煤能源 600792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3/4</w:t>
            </w:r>
          </w:p>
        </w:tc>
        <w:tc>
          <w:tcPr>
            <w:tcW w:type="dxa" w:w="302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不列T日空接；进入次日盘中条件池</w:t>
            </w:r>
          </w:p>
        </w:tc>
        <w:tc>
          <w:tcPr>
            <w:tcW w:type="dxa" w:w="40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并非9月10日新空间；可在9月11日老空间淘汰后逐级验证超级先手。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新农开发等六只2板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2/4</w:t>
            </w:r>
          </w:p>
        </w:tc>
        <w:tc>
          <w:tcPr>
            <w:tcW w:type="dxa" w:w="302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观察，不预选</w:t>
            </w:r>
          </w:p>
        </w:tc>
        <w:tc>
          <w:tcPr>
            <w:tcW w:type="dxa" w:w="40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未成为新空间/隐形空间，缺少唯一空间代表性；不能因板数通过C就造身份。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百大集团 600865</w:t>
            </w:r>
          </w:p>
        </w:tc>
        <w:tc>
          <w:tcPr>
            <w:tcW w:type="dxa" w:w="9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断板/—</w:t>
            </w:r>
          </w:p>
        </w:tc>
        <w:tc>
          <w:tcPr>
            <w:tcW w:type="dxa" w:w="302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移入历史/持仓管理</w:t>
            </w:r>
          </w:p>
        </w:tc>
        <w:tc>
          <w:tcPr>
            <w:tcW w:type="dxa" w:w="40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9月9日T+1已客观可交易，首次窗口结束；9月10日失败不能包装为T+2补救。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5B6573"/>
          <w:sz w:val="18"/>
        </w:rPr>
        <w:t>瑞尔特重新取得“公告空接龙”筛选资格的必要条件：在高位连续两个正式交易日完成体系认可的有效换手。9月10日纯一字不能计为有效换手；老师未给统一换手百分比，报告不臆造阈值。</w:t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7 广义空接、断板龙、压突及全部模式扫描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59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47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广义空接龙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桂林：有望成为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T日预期制；H=4=C。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狭义自然空接龙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桂林：有望成为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唯一最高且有题材联动，T+1待确认。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空中飘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桂林：有望成为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5→4再压缩的中继预期；身份、T日先手、T+1接力已分开。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控怪龙/空拐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无符合条件候选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本次最低点后尚未形成空间重新走高。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断板龙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无符合条件候选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缺少上方被动空间/擦板＋至少两层断档＋下方真实梯队完整链。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空接断板龙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无符合条件候选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9月10日未出现可验证的提前一天先手结构。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压突突破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无符合条件候选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所有H&lt;Y=6；摸顶与突破均未发生。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T+2/T+3/T+4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无符合条件候选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无客观不可买的T+1或有效T+2成功账本。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负阴抱阳龙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无符合条件候选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上证9月10日收跌0.43%，不满足P0 T日大阳门槛。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空转趋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龙版传媒历史池，停牌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只解决跟踪谁，不直接给买点。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龙头首阴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无符合条件候选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未找到身份与首阴条件同时成立者。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4K/6K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需回查原文/体系依据不足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当前材料不能独立编码量价、时点与失效参数。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经典弱转强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无盘前确认候选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必须用前日盘口基准和次日实时量价确认。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分离确认</w:t>
            </w:r>
          </w:p>
        </w:tc>
        <w:tc>
          <w:tcPr>
            <w:tcW w:type="dxa" w:w="259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待盘中确认</w:t>
            </w:r>
          </w:p>
        </w:tc>
        <w:tc>
          <w:tcPr>
            <w:tcW w:type="dxa" w:w="547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同组只认第一只有效涨停；分离不反向创造上游身份。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8 核心候选竞价/盘中执行卡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53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248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不出现/负面信号怎么做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09:15—09:20</w:t>
            </w:r>
          </w:p>
        </w:tc>
        <w:tc>
          <w:tcPr>
            <w:tcW w:type="dxa" w:w="45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只建立风险名单：非ST跌停、近期A杀核心、桂林/云煤/瑞尔特封单与停复牌。</w:t>
            </w:r>
          </w:p>
        </w:tc>
        <w:tc>
          <w:tcPr>
            <w:tcW w:type="dxa" w:w="424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不下单；竞价早段不得当作最终封单。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09:20—09:25</w:t>
            </w:r>
          </w:p>
        </w:tc>
        <w:tc>
          <w:tcPr>
            <w:tcW w:type="dxa" w:w="45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核验撤单后真实封单、核跌停是否打开、旅游/煤化工助攻。关键项全可验证后才讨论闸门。</w:t>
            </w:r>
          </w:p>
        </w:tc>
        <w:tc>
          <w:tcPr>
            <w:tcW w:type="dxa" w:w="424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任一项未知，维持UNKNOWN/CLOSED；取消所有主动新仓。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09:30—09:45</w:t>
            </w:r>
          </w:p>
        </w:tc>
        <w:tc>
          <w:tcPr>
            <w:tcW w:type="dxa" w:w="45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桂林只验证T+1身份；若开板，看是否快速主动回封。云煤仅观察是否逐级上位。</w:t>
            </w:r>
          </w:p>
        </w:tc>
        <w:tc>
          <w:tcPr>
            <w:tcW w:type="dxa" w:w="424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桂林失守9.69且无承接、旅游无助攻则证伪；云煤不提前低吸/半路。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09:45—13:30</w:t>
            </w:r>
          </w:p>
        </w:tc>
        <w:tc>
          <w:tcPr>
            <w:tcW w:type="dxa" w:w="45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观察空间是否唯一、均价承接、同身位第一有效封板与高位负反馈。</w:t>
            </w:r>
          </w:p>
        </w:tc>
        <w:tc>
          <w:tcPr>
            <w:tcW w:type="dxa" w:w="424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并列未分离、回封弱、A杀扩散：放弃；不临时扩充股票池。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13:30—14:35</w:t>
            </w:r>
          </w:p>
        </w:tc>
        <w:tc>
          <w:tcPr>
            <w:tcW w:type="dxa" w:w="45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仅云煤满足全部超级先手条件时，允许打板/回封确认；桂林只作持仓管理。</w:t>
            </w:r>
          </w:p>
        </w:tc>
        <w:tc>
          <w:tcPr>
            <w:tcW w:type="dxa" w:w="424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缺一个条件就不做；振幅超限、桂林仍强或瑞尔特反卡均否决。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14:35以后</w:t>
            </w:r>
          </w:p>
        </w:tc>
        <w:tc>
          <w:tcPr>
            <w:tcW w:type="dxa" w:w="453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只做已有持仓风控。</w:t>
            </w:r>
          </w:p>
        </w:tc>
        <w:tc>
          <w:tcPr>
            <w:tcW w:type="dxa" w:w="4248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绝对不新增仓。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9 修复 / 分化 / 退潮三套剧本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320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232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超预期/修复</w:t>
            </w:r>
          </w:p>
        </w:tc>
        <w:tc>
          <w:tcPr>
            <w:tcW w:type="dxa" w:w="432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风险关键项全核验；非ST跌停回落、近期A杀批量企稳；桂林身份强化；唯一空间与题材联动清晰。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仍不追桂林T+1；仅云煤超级先手全部触发时，小仓打板/回封确认。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守均价与有效回封；不在直线加速末端加仓。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符合预期/分化</w:t>
            </w:r>
          </w:p>
        </w:tc>
        <w:tc>
          <w:tcPr>
            <w:tcW w:type="dxa" w:w="432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跌停未继续扩散但修复不充分；桂林换手晋级或震荡；同身位竞争存在。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继续观察，等待唯一确认；没有完整触发就不做。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强者持有观察，掉队按个股证伪减仓。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低预期/退潮</w:t>
            </w:r>
          </w:p>
        </w:tc>
        <w:tc>
          <w:tcPr>
            <w:tcW w:type="dxa" w:w="432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非ST跌停达到强控或核跌停未开；桂林/云煤强转弱；高位A杀继续。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空仓观察。</w:t>
            </w:r>
          </w:p>
        </w:tc>
        <w:tc>
          <w:tcPr>
            <w:tcW w:type="dxa" w:w="2232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利用流动性反抽减仓/退出，不等尾盘修复。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10 历史账本与后续阶段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376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模式/T日</w:t>
            </w:r>
          </w:p>
        </w:tc>
        <w:tc>
          <w:tcPr>
            <w:tcW w:type="dxa" w:w="1800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944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80"/>
            <w:shd w:fill="1F4E78"/>
            <w:tcMar>
              <w:top w:w="55" w:type="dxa"/>
              <w:bottom w:w="55" w:type="dxa"/>
              <w:start w:w="7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桂林旅游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广义空接/空中飘预期；T=9月10日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9月11日T+1</w:t>
            </w:r>
          </w:p>
        </w:tc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身份验证有效；接力默认舍弃</w:t>
            </w:r>
          </w:p>
        </w:tc>
        <w:tc>
          <w:tcPr>
            <w:tcW w:type="dxa" w:w="288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收盘记录成立/强化/证伪；不机械顺延。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百大集团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空拐历史预期；T=9月8日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9月10日已断板</w:t>
            </w:r>
          </w:p>
        </w:tc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已给正常机会</w:t>
            </w:r>
          </w:p>
        </w:tc>
        <w:tc>
          <w:tcPr>
            <w:tcW w:type="dxa" w:w="288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只作持仓风控和空间失败账本；不列T+2。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龙版传媒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空转趋池；9月8日断板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9月10日仍停牌</w:t>
            </w:r>
          </w:p>
        </w:tc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客观不可买</w:t>
            </w:r>
          </w:p>
        </w:tc>
        <w:tc>
          <w:tcPr>
            <w:tcW w:type="dxa" w:w="288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复牌后重建竞价与趋势账本；日期待公告。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瑞尔特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连续一字特殊票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9月10日3板</w:t>
            </w:r>
          </w:p>
        </w:tc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常规空接排除</w:t>
            </w:r>
          </w:p>
        </w:tc>
        <w:tc>
          <w:tcPr>
            <w:tcW w:type="dxa" w:w="288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高位连续两个交易日有效换手后再筛选。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云煤能源</w:t>
            </w:r>
          </w:p>
        </w:tc>
        <w:tc>
          <w:tcPr>
            <w:tcW w:type="dxa" w:w="2376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9月11日潜在超级先手</w:t>
            </w:r>
          </w:p>
        </w:tc>
        <w:tc>
          <w:tcPr>
            <w:tcW w:type="dxa" w:w="180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待触发</w:t>
            </w:r>
          </w:p>
        </w:tc>
        <w:tc>
          <w:tcPr>
            <w:tcW w:type="dxa" w:w="1944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尚未形成</w:t>
            </w:r>
          </w:p>
        </w:tc>
        <w:tc>
          <w:tcPr>
            <w:tcW w:type="dxa" w:w="2880"/>
            <w:tcMar>
              <w:top w:w="55" w:type="dxa"/>
              <w:bottom w:w="55" w:type="dxa"/>
              <w:start w:w="70" w:type="dxa"/>
              <w:end w:w="7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71717"/>
                <w:sz w:val="16"/>
              </w:rPr>
              <w:t>只按当日唯一空间与规定盘口验证。</w:t>
            </w:r>
          </w:p>
        </w:tc>
      </w:tr>
    </w:tbl>
    <w:p>
      <w:pPr>
        <w:keepNext w:val="0"/>
        <w:spacing w:after="20" w:line="259" w:lineRule="auto"/>
      </w:pPr>
      <w:r>
        <w:rPr>
          <w:rFonts w:ascii="Arial" w:hAnsi="Arial" w:eastAsia="Noto Sans CJK SC"/>
          <w:b w:val="0"/>
          <w:color w:val="171717"/>
          <w:sz w:val="19"/>
        </w:rPr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171717"/>
          <w:sz w:val="18"/>
        </w:rPr>
        <w:t>T+2补救：本期无。T+1客观可买但个人未买，不构成补救；同题材后排不能冒充分支龙头。T+3/T+4：缺少有效前置账本，不生成。</w:t>
      </w:r>
    </w:p>
    <w:p>
      <w:r>
        <w:br w:type="page"/>
      </w:r>
    </w:p>
    <w:p>
      <w:pPr>
        <w:pStyle w:val="Heading1"/>
        <w:keepNext/>
        <w:spacing w:after="100" w:line="259" w:lineRule="auto"/>
      </w:pPr>
      <w:r>
        <w:rPr>
          <w:rFonts w:ascii="Arial" w:hAnsi="Arial" w:eastAsia="Noto Sans CJK SC"/>
          <w:b/>
          <w:color w:val="1F4E78"/>
          <w:sz w:val="32"/>
        </w:rPr>
        <w:t>11 受控未知项、数据来源与风险提示</w:t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F4E78"/>
          <w:sz w:val="24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71717"/>
          <w:sz w:val="18"/>
        </w:rPr>
        <w:t>9月11日非ST跌停精确数、近期连续A杀标的是否批量企稳、核跌停实际打开状态：必须实时核验；未核即CLOSED。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71717"/>
          <w:sz w:val="18"/>
        </w:rPr>
        <w:t>竞价封单与撤单、逐笔成交、开板次数、回封量、分时均价：待盘中确认，不用收盘结果倒推。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71717"/>
          <w:sz w:val="18"/>
        </w:rPr>
        <w:t>Y=6的两个连续有效A/B来源的完整日期/类型账本：本轮未完整恢复；沿用最近已验证值但禁止重算。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71717"/>
          <w:sz w:val="18"/>
        </w:rPr>
        <w:t>P2本轮工作区副本无法完整解析；P0 v2已明确覆盖执行规则，4K/6K仍按“需回查原文/体系依据不足”。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71717"/>
          <w:sz w:val="18"/>
        </w:rPr>
        <w:t>龙版传媒复牌日期与复牌盘口：待正式公告。</w:t>
      </w:r>
    </w:p>
    <w:p>
      <w:pPr>
        <w:pStyle w:val="Heading2"/>
        <w:keepNext/>
        <w:spacing w:after="80" w:line="259" w:lineRule="auto"/>
      </w:pPr>
      <w:r>
        <w:rPr>
          <w:rFonts w:ascii="Arial" w:hAnsi="Arial" w:eastAsia="Noto Sans CJK SC"/>
          <w:b/>
          <w:color w:val="1F4E78"/>
          <w:sz w:val="24"/>
        </w:rPr>
        <w:t>主要公开数据来源（抓取时间：2026-09-10 17:33—18:20，北京时间）</w:t>
      </w:r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2026年休市安排与交易日核验：</w:t>
      </w:r>
      <w:hyperlink r:id="rId9">
        <w:r>
          <w:rPr>
            <w:color w:val="1F4E78"/>
            <w:u w:val="single"/>
            <w:rFonts w:eastAsia="Noto Sans CJK SC" w:ascii="Arial" w:hAnsi="Arial"/>
            <w:sz w:val="17"/>
          </w:rPr>
          <w:t>上交所公告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严格连板梯队、涨跌停、炸板、晋级与市场广度：</w:t>
      </w:r>
      <w:hyperlink r:id="rId10">
        <w:r>
          <w:rPr>
            <w:color w:val="1F4E78"/>
            <w:u w:val="single"/>
            <w:rFonts w:eastAsia="Noto Sans CJK SC" w:ascii="Arial" w:hAnsi="Arial"/>
            <w:sz w:val="17"/>
          </w:rPr>
          <w:t>连板网9月10日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涨跌停、封板率、成交额与高位负反馈：</w:t>
      </w:r>
      <w:hyperlink r:id="rId11">
        <w:r>
          <w:rPr>
            <w:color w:val="1F4E78"/>
            <w:u w:val="single"/>
            <w:rFonts w:eastAsia="Noto Sans CJK SC" w:ascii="Arial" w:hAnsi="Arial"/>
            <w:sz w:val="17"/>
          </w:rPr>
          <w:t>东方财富收盘综述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普跌家数与高位跌停交叉核验：</w:t>
      </w:r>
      <w:hyperlink r:id="rId12">
        <w:r>
          <w:rPr>
            <w:color w:val="1F4E78"/>
            <w:u w:val="single"/>
            <w:rFonts w:eastAsia="Noto Sans CJK SC" w:ascii="Arial" w:hAnsi="Arial"/>
            <w:sz w:val="17"/>
          </w:rPr>
          <w:t>腾讯市场复盘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9.69元、4连板、换手与成交额：</w:t>
      </w:r>
      <w:hyperlink r:id="rId13">
        <w:r>
          <w:rPr>
            <w:color w:val="1F4E78"/>
            <w:u w:val="single"/>
            <w:rFonts w:eastAsia="Noto Sans CJK SC" w:ascii="Arial" w:hAnsi="Arial"/>
            <w:sz w:val="17"/>
          </w:rPr>
          <w:t>桂林旅游行情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估值、低空经济与AI业务风险提示：</w:t>
      </w:r>
      <w:hyperlink r:id="rId14">
        <w:r>
          <w:rPr>
            <w:color w:val="1F4E78"/>
            <w:u w:val="single"/>
            <w:rFonts w:eastAsia="Noto Sans CJK SC" w:ascii="Arial" w:hAnsi="Arial"/>
            <w:sz w:val="17"/>
          </w:rPr>
          <w:t>桂林旅游公告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瑞尔特9月10日一字板价格、成交与换手：</w:t>
      </w:r>
      <w:hyperlink r:id="rId15">
        <w:r>
          <w:rPr>
            <w:color w:val="1F4E78"/>
            <w:u w:val="single"/>
            <w:rFonts w:eastAsia="Noto Sans CJK SC" w:ascii="Arial" w:hAnsi="Arial"/>
            <w:sz w:val="17"/>
          </w:rPr>
          <w:t>深交所行情页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9月10日振幅、换手、成交与尾盘回封：</w:t>
      </w:r>
      <w:hyperlink r:id="rId16">
        <w:r>
          <w:rPr>
            <w:color w:val="1F4E78"/>
            <w:u w:val="single"/>
            <w:rFonts w:eastAsia="Noto Sans CJK SC" w:ascii="Arial" w:hAnsi="Arial"/>
            <w:sz w:val="17"/>
          </w:rPr>
          <w:t>云煤能源行情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71717"/>
          <w:sz w:val="17"/>
        </w:rPr>
        <w:t>百大、华脉、金正大等高位负反馈：</w:t>
      </w:r>
      <w:hyperlink r:id="rId17">
        <w:r>
          <w:rPr>
            <w:color w:val="1F4E78"/>
            <w:u w:val="single"/>
            <w:rFonts w:eastAsia="Noto Sans CJK SC" w:ascii="Arial" w:hAnsi="Arial"/>
            <w:sz w:val="17"/>
          </w:rPr>
          <w:t>高换手榜</w:t>
        </w:r>
      </w:hyperlink>
    </w:p>
    <w:p>
      <w:pPr>
        <w:keepNext w:val="0"/>
        <w:spacing w:after="60" w:line="259" w:lineRule="auto"/>
      </w:pPr>
      <w:r>
        <w:rPr>
          <w:rFonts w:ascii="Arial" w:hAnsi="Arial" w:eastAsia="Noto Sans CJK SC"/>
          <w:b w:val="0"/>
          <w:color w:val="5B6573"/>
          <w:sz w:val="17"/>
        </w:rPr>
        <w:t>口径说明：不同公开源的涨跌停总数存在“35/40涨停、11/13跌停”差异，报告不擅自选有利口径；严格H使用连续涨停，N+反包不累计。</w:t>
      </w:r>
    </w:p>
    <w:p>
      <w:pPr>
        <w:keepNext w:val="0"/>
        <w:spacing w:after="60" w:line="259" w:lineRule="auto"/>
      </w:pPr>
      <w:r>
        <w:rPr>
          <w:rFonts w:ascii="Arial" w:hAnsi="Arial" w:eastAsia="Noto Sans CJK SC"/>
          <w:b/>
          <w:color w:val="A61B1B"/>
          <w:sz w:val="18"/>
        </w:rPr>
        <w:t>风险提示：本报告仅用于整理和执行用户私有交易理论，不构成投资建议，不承诺收益。高位股票可能快速跌停、无法成交或受监管停牌；全部策略均以实时风险闸门和客观触发条件为前提。</w:t>
      </w:r>
    </w:p>
    <w:sectPr w:rsidR="00FC693F" w:rsidRPr="0006063C" w:rsidSect="00034616">
      <w:footerReference w:type="default" r:id="rId1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B6573"/>
        <w:sz w:val="15"/>
      </w:rPr>
      <w:t>2026年9月11日 A股模式股盘前操作策略｜仅供体系复核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171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dealinstruc/closed/c/c_20251222_10802510.shtml" TargetMode="External"/><Relationship Id="rId10" Type="http://schemas.openxmlformats.org/officeDocument/2006/relationships/hyperlink" Target="https://lianban.net/days/2026-09-10.html" TargetMode="External"/><Relationship Id="rId11" Type="http://schemas.openxmlformats.org/officeDocument/2006/relationships/hyperlink" Target="https://finance.eastmoney.com/a/202609103870638654.html" TargetMode="External"/><Relationship Id="rId12" Type="http://schemas.openxmlformats.org/officeDocument/2006/relationships/hyperlink" Target="https://news.qq.com/rain/a/20260910A0885X00" TargetMode="External"/><Relationship Id="rId13" Type="http://schemas.openxmlformats.org/officeDocument/2006/relationships/hyperlink" Target="https://stock.stockstar.com/RB2026091000024850.shtml" TargetMode="External"/><Relationship Id="rId14" Type="http://schemas.openxmlformats.org/officeDocument/2006/relationships/hyperlink" Target="https://static.cninfo.com.cn/finalpage/2026-09-09/1225554318.PDF" TargetMode="External"/><Relationship Id="rId15" Type="http://schemas.openxmlformats.org/officeDocument/2006/relationships/hyperlink" Target="https://www.szse.cn/market/trend/index.html?code=002790" TargetMode="External"/><Relationship Id="rId16" Type="http://schemas.openxmlformats.org/officeDocument/2006/relationships/hyperlink" Target="https://stock.jrj.com.cn/2026/09/10145258403727.shtml" TargetMode="External"/><Relationship Id="rId17" Type="http://schemas.openxmlformats.org/officeDocument/2006/relationships/hyperlink" Target="https://fund.eastmoney.com/a/202609103870605567.html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2026年9月11日 A股模式股盘前操作策略</dc:title>
  <dc:subject>基于2026年9月10日收盘的私有体系盘前执行报告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