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rFonts w:ascii="Arial" w:hAnsi="Arial" w:eastAsia="Noto Sans CJK SC"/>
          <w:b/>
          <w:color w:val="111111"/>
          <w:sz w:val="42"/>
        </w:rPr>
        <w:t>2026年9月15日 A股模式股盘前操作策略</w:t>
      </w:r>
    </w:p>
    <w:p>
      <w:pPr>
        <w:spacing w:after="140"/>
        <w:jc w:val="center"/>
      </w:pPr>
      <w:r>
        <w:rPr>
          <w:rFonts w:ascii="Arial" w:hAnsi="Arial" w:eastAsia="Noto Sans CJK SC"/>
          <w:b w:val="0"/>
          <w:color w:val="5B6573"/>
          <w:sz w:val="21"/>
        </w:rPr>
        <w:t>基于2026年9月14日收盘</w:t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1 首页执行结论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8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6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执行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日期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analysis_date：2026-09-14 17:27（北京时间）</w:t>
              <w:br/>
              <w:t>latest_market_date：2026-09-14</w:t>
              <w:br/>
              <w:t>target_trade_date：2026-09-15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上交所交易日历核验：9月14日已完整收盘；9月15日为下一正式交易日。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P0风险结论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CLOSED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9月14日非ST跌停16只，连续第二日越过10只强制空仓线；瑞尔特天地板、龙版传媒等高标跌停。禁止主动新开仓。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情绪许可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CAUTION｜置信度：中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中周期：退潮后段/下跌第四阶段假设；小周期：冰点后弱修复、尚未确认转折。E1只降低权限，不能解除CLOSED。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主体候选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无明日第一次新开仓候选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闽东电力T+1已给正常换手机会并晋级4板，首次窗口结束；3板组未成为新空间或隐形空间。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买点条件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仅观察，不执行主动买入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即使出现分离、弱转强或板块带动，风险闸门未解除前仍不买。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P0仓位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主动新仓=0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母规则强制空仓；已有持仓仅做风控。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五变量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Hmax=4｜X=7｜C=4｜Y=6*</w:t>
              <w:br/>
              <w:t>H：闽东4；中新/超声/凯盛3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X≠C≠Y。Y沿用最近验证值，连续两条历史压制来源仍待完整恢复。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主流分支/带队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PCB：超声电子预选主带队</w:t>
              <w:br/>
              <w:t>网络安全：中新赛克辨识度最高，带队待确认</w:t>
              <w:br/>
              <w:t>绿电：闽东电力带队有效</w:t>
              <w:br/>
              <w:t>汽车：主带队待确认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封板稳定性、撤单与实际回封质量缺少统一公开逐笔数据，不能硬选。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最终执行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无新开仓候选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观察闽东持仓风控、3板组分离和板块后排联动；14:35后不新增。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Arial" w:hAnsi="Arial" w:eastAsia="Noto Sans CJK SC"/>
          <w:b/>
          <w:color w:val="A61B1B"/>
          <w:sz w:val="20"/>
        </w:rPr>
        <w:t>总原则：先风险、再情绪环境、后身份与买点。CLOSED期间所有模式只观察或管理持仓。</w:t>
      </w:r>
    </w:p>
    <w:p>
      <w:pPr>
        <w:keepNext w:val="0"/>
        <w:spacing w:after="60" w:line="252" w:lineRule="auto"/>
      </w:pPr>
      <w:r>
        <w:rPr>
          <w:rFonts w:ascii="Arial" w:hAnsi="Arial" w:eastAsia="Noto Sans CJK SC"/>
          <w:b w:val="0"/>
          <w:color w:val="5B6573"/>
          <w:sz w:val="17"/>
        </w:rPr>
        <w:t>仅用于整理用户私有交易理论，不构成投资建议。</w:t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2 日期 风险总闸门与情绪环境辅助判断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9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交易日核验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2026年9月14日不在上交所休市区间，且17:13已有完整收盘复盘；9月15日为下一正式交易日。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收盘口径A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财联社：55涨停、30炸板、封板率65%；全市场超3100股上涨；两市成交1.63万亿元。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收盘口径B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东方财富财富号：56涨停、17跌停、36炸板；另一收盘统计为18跌停，其中非ST 16只、炸板39只。保留口径差异。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指数与量能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沪指-0.07%、深成指-0.64%、创业板指-1.10%；成交较上一交易日缩量约3427亿元。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高位负反馈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瑞尔特从竞价涨停转为收盘跌停；龙版传媒复牌一字跌停；亚盛、红棉、云南旅游等高位/前强继续跌停。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强制空仓阈值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公开收盘统计明确9月14日非ST跌停16只，且9月11日为21只，连续两个正式交易日≥10。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闸门结论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CLOSED。主动新仓为0；任何空接、压突、超级先手、弱转强或分离信号均不得越过闸门。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Arial" w:hAnsi="Arial" w:eastAsia="Noto Sans CJK SC"/>
          <w:b/>
          <w:color w:val="111111"/>
          <w:sz w:val="23"/>
        </w:rPr>
        <w:t>情绪环境辅助判断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1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阶段假设与证据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中周期阶段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退潮后段/下跌第四阶段假设。高位A杀和跌停阈值未解除，尚无完整转势链。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小周期阶段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9月11日冰点后弱修复；涨停和上涨家数改善，但高位亏钱效应、炸板率与缩量仍显著。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指数状态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三大指数三连跌，权重弱；小微盘修复，指数与个股广度出现背离。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短线赚钱效应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连板晋级率回升至57.14%，Hmax仍只有4；局部PCB、网络安全、汽车、CRO扩散，高位接力仍脆弱。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共振/背离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指数偏弱、个股广度修复；低位题材回暖与高位连续派面并存，属于结构背离。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支持证据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55/56涨停、超3100上涨、11只连板；闽东4板，PCB与网络安全形成扩散。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反证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非ST跌停16、炸板率最高口径41.1%、成交显著缩量；瑞尔特天地板与多只前强跌停。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许可/置信度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CAUTION，中置信度。只能收缩候选、提高确认要求；P0 CLOSED继续决定不执行。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原节次/边界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E1第7—10、21、23、25节；阶段标签不是买卖信号。第12、13节正文缺失处不补造。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15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72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Hmax</w:t>
            </w:r>
          </w:p>
        </w:tc>
        <w:tc>
          <w:tcPr>
            <w:tcW w:type="dxa" w:w="32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最高严格连板</w:t>
            </w:r>
          </w:p>
        </w:tc>
        <w:tc>
          <w:tcPr>
            <w:tcW w:type="dxa" w:w="64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X</w:t>
            </w:r>
          </w:p>
        </w:tc>
        <w:tc>
          <w:tcPr>
            <w:tcW w:type="dxa" w:w="64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C</w:t>
            </w:r>
          </w:p>
        </w:tc>
        <w:tc>
          <w:tcPr>
            <w:tcW w:type="dxa" w:w="381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结构</w:t>
            </w:r>
          </w:p>
        </w:tc>
      </w:tr>
      <w:tr>
        <w:trPr>
          <w:cantSplit/>
        </w:trPr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9月7日</w:t>
            </w:r>
          </w:p>
        </w:tc>
        <w:tc>
          <w:tcPr>
            <w:tcW w:type="dxa" w:w="7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龙版传媒6板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摸Y</w:t>
            </w:r>
          </w:p>
        </w:tc>
      </w:tr>
      <w:tr>
        <w:trPr>
          <w:cantSplit/>
        </w:trPr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9月8日</w:t>
            </w:r>
          </w:p>
        </w:tc>
        <w:tc>
          <w:tcPr>
            <w:tcW w:type="dxa" w:w="7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三只4板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6→4断层压缩</w:t>
            </w:r>
          </w:p>
        </w:tc>
      </w:tr>
      <w:tr>
        <w:trPr>
          <w:cantSplit/>
        </w:trPr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9月9日</w:t>
            </w:r>
          </w:p>
        </w:tc>
        <w:tc>
          <w:tcPr>
            <w:tcW w:type="dxa" w:w="7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百大集团5板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局部回升</w:t>
            </w:r>
          </w:p>
        </w:tc>
      </w:tr>
      <w:tr>
        <w:trPr>
          <w:cantSplit/>
        </w:trPr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9月10日</w:t>
            </w:r>
          </w:p>
        </w:tc>
        <w:tc>
          <w:tcPr>
            <w:tcW w:type="dxa" w:w="7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桂林旅游4板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5→4再压缩</w:t>
            </w:r>
          </w:p>
        </w:tc>
      </w:tr>
      <w:tr>
        <w:trPr>
          <w:cantSplit/>
        </w:trPr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9月11日</w:t>
            </w:r>
          </w:p>
        </w:tc>
        <w:tc>
          <w:tcPr>
            <w:tcW w:type="dxa" w:w="7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瑞尔特4板（一字特殊）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高度平移</w:t>
            </w:r>
          </w:p>
        </w:tc>
      </w:tr>
      <w:tr>
        <w:trPr>
          <w:cantSplit/>
        </w:trPr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9月14日</w:t>
            </w:r>
          </w:p>
        </w:tc>
        <w:tc>
          <w:tcPr>
            <w:tcW w:type="dxa" w:w="7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闽东电力4板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有效梯队单票晋级；X不因部分淘汰而下压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115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值</w:t>
            </w:r>
          </w:p>
        </w:tc>
        <w:tc>
          <w:tcPr>
            <w:tcW w:type="dxa" w:w="76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计算与边界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Hmax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闽东电力真实4连板；瑞尔特断板后H归零。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X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7（账本值）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9月11日H3锚定组闽东/鼎信在T+1未全部淘汰，闽东晋级；不触发规定的全淘汰下压。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C=clamp(X−3,3,5)=4；未确认两轮全淘汰或连续两次压在3板及以下的重置。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Y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6*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沿用最近验证的压突天花板；历史连续两条有效A/B来源链仍未完整恢复，禁止用本日Hmax重算。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逐票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闽东4；中新赛克3；超声电子3（6天4板但严格连板3）；凯盛新能3；瑞尔特/鼎信均断板。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Arial" w:hAnsi="Arial" w:eastAsia="Noto Sans CJK SC"/>
          <w:b/>
          <w:color w:val="A61B1B"/>
          <w:sz w:val="20"/>
        </w:rPr>
        <w:t>强制标记：X≠C≠Y。Hmax=4=C&lt;Y=6；资格、身份与买点必须分层。</w:t>
      </w:r>
    </w:p>
    <w:p>
      <w:pPr>
        <w:pStyle w:val="Heading2"/>
        <w:keepNext/>
        <w:spacing w:after="80" w:line="252" w:lineRule="auto"/>
      </w:pPr>
      <w:r>
        <w:rPr>
          <w:rFonts w:ascii="Arial" w:hAnsi="Arial" w:eastAsia="Noto Sans CJK SC"/>
          <w:b/>
          <w:color w:val="111111"/>
          <w:sz w:val="23"/>
        </w:rPr>
        <w:t>Y压制信号来源账本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331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失败高度</w:t>
            </w:r>
          </w:p>
        </w:tc>
        <w:tc>
          <w:tcPr>
            <w:tcW w:type="dxa" w:w="259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有效性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连续性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历史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最近已验证两条A/B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最高6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沿用结果；源链待补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不新增推断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9月14日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9月11日H3锚定组T+1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不构成A：闽东晋级、并非全灭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未形成新压制信号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4 2026年9月15日第一次可操作/验证对象</w:t>
      </w:r>
    </w:p>
    <w:p>
      <w:pPr>
        <w:keepNext w:val="0"/>
        <w:spacing w:after="60" w:line="252" w:lineRule="auto"/>
      </w:pPr>
      <w:r>
        <w:rPr>
          <w:rFonts w:ascii="Arial" w:hAnsi="Arial" w:eastAsia="Noto Sans CJK SC"/>
          <w:b/>
          <w:color w:val="A61B1B"/>
          <w:sz w:val="20"/>
        </w:rPr>
        <w:t>结论：无新开仓候选。风险闸门CLOSED先行否决；同时，9月14日收盘未产生“首次成为新空间或隐形空间且仍处第一次窗口”的合格对象。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52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时间/身份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9月15日价值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无持仓</w:t>
            </w:r>
          </w:p>
        </w:tc>
        <w:tc>
          <w:tcPr>
            <w:tcW w:type="dxa" w:w="201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已有持仓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 000993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T=9月11日；9月14日T+1完成4板；首次窗口已结束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持仓风控与空间延续锚，不包装成T+2补救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不追；风险关闭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看15.27元、均价、回封及绿电后排；低预期按流动性减仓/退出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中新赛克 002912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严格H3；起手连续一字特殊；未成为新空间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网络安全辨识度观察；公告/一字规则过滤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不买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若持有，只看封单撤退和开板承接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超声电子 000823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严格H3；PCB；非首次新空间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PCB带队与3进4分离观察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不买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守前日涨停价22.63及均价；带队转弱时风控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凯盛新能 600876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严格H3；14:54封板；非首次新空间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尾盘板次日承接观察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不买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竞价低预期或失守9.57且无承接则风控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5 今天盘中超级先手结果与明天常规节点（分池）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30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池</w:t>
            </w:r>
          </w:p>
        </w:tc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80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依据/动作</w:t>
            </w:r>
          </w:p>
        </w:tc>
      </w:tr>
      <w:tr>
        <w:trPr>
          <w:cantSplit/>
        </w:trPr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9月14日已结束超级先手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不是新先手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10:01封4板，属于前一T日的T+1正常验证；不能事后包装为9月15日新机会。</w:t>
            </w:r>
          </w:p>
        </w:tc>
      </w:tr>
      <w:tr>
        <w:trPr>
          <w:cantSplit/>
        </w:trPr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9月14日已结束超级先手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凯盛新能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未成立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14:54封3板，晚于14:35；且上方闽东4板仍有效。</w:t>
            </w:r>
          </w:p>
        </w:tc>
      </w:tr>
      <w:tr>
        <w:trPr>
          <w:cantSplit/>
        </w:trPr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9月14日已结束超级先手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超声/中新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未成立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分别09:40与09:25封板；均非13:30—14:35唯一最高。</w:t>
            </w:r>
          </w:p>
        </w:tc>
      </w:tr>
      <w:tr>
        <w:trPr>
          <w:cantSplit/>
        </w:trPr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9月15日常规节点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无第一次常规介入对象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闽东T+1已正常可买；个人未买不能转为T+2补救。</w:t>
            </w:r>
          </w:p>
        </w:tc>
      </w:tr>
      <w:tr>
        <w:trPr>
          <w:cantSplit/>
        </w:trPr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9月15日待触发超级先手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H3组三票仅作观察池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CLOSED时禁止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只有闸门先解除，且老空间显著失效、同层唯一强者于13:30—14:35主动封板/回封、振幅合规，才重新核验。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6 T日“有望成为”预选池与逐票淘汰原因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股票</w:t>
            </w:r>
          </w:p>
        </w:tc>
        <w:tc>
          <w:tcPr>
            <w:tcW w:type="dxa" w:w="9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H/C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预选结论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通过/淘汰原因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 000993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历史锚点：身份验证强化；潜在空拐属性成立度提高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T=9月11日，9月14日T+1晋级且板块有后续；但首次窗口结束。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中新赛克 002912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3/4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H≤C但未首次成为新空间；连续一字特殊过滤。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超声电子 000823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3/4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H≤C但位于闽东下方，不是新空间/隐形空间；仅作PCB带队观察。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凯盛新能 600876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3/4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H≤C但非新空间；14:54尾盘封板不符合超级先手时段。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瑞尔特 002790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断板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公告/一字特殊失败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竞价涨停后收盘跌停，连续H归零；身份与介入点证伪。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鼎信通讯 603421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断板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9月11日预选证伪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9月14日低开走弱约-6.5%，T+1未晋级。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7 广义空接、断板龙、压突及全部模式扫描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16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28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52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依据/边界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广义/狭义空接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无当日新T日候选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闽东为历史T日且T+1已完成；H3组未首次成为新空间。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空中飘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未形成新的空间压缩中继锚；身份、T日先手与T+1接力分开。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控怪龙/空拐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闽东历史属性强化；无新T日候选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压缩后由H3升至H4并完成同组分离；仅作历史/持仓，不回补首次窗口。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公告空接龙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中新连续一字，尚无高位连续两个正式交易日有效换手。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断板龙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上方与H3组仅差一层，不满足至少断两层；被动空间证据链也不完整。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空接断板龙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盘中缺上方被动空间明显失效＋下方隐形空间逐级唯一上位的完整先手链。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压突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无突破候选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闽东H4、三票H3，全部H&lt;Y=6，仍在屋顶下。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T+2/T+3/T+4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闽东T+1提供正常换手机会；个人未买不构成补救。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负阴抱阳龙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缺完整主体身份与抱阳前置。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空转趋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无可执行候选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龙版传媒复牌一字跌停；空转趋只提供跟踪对象，不创造买点。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龙头首阴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瑞尔特/鼎信失败不能反向创造龙头身份。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4K/6K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需回查原文/体系依据不足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量价、时点与失效参数不得臆造。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经典弱转强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无盘前确认候选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必须基于前日盘口并由实时竞价、量能、均价和板块联动确认。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分离确认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H3组三票待观察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同组原则只认第一只有效4板，但分离不能反向创造空接身份。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8 板块梯队、主流分支与带队票验证</w:t>
      </w:r>
    </w:p>
    <w:p>
      <w:pPr>
        <w:pStyle w:val="Heading2"/>
        <w:keepNext/>
        <w:spacing w:after="80" w:line="252" w:lineRule="auto"/>
      </w:pPr>
      <w:r>
        <w:rPr>
          <w:rFonts w:ascii="Arial" w:hAnsi="Arial" w:eastAsia="Noto Sans CJK SC"/>
          <w:b/>
          <w:color w:val="111111"/>
          <w:sz w:val="23"/>
        </w:rPr>
        <w:t>A. 核心观察对象板块验证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候选/口径</w:t>
            </w:r>
          </w:p>
        </w:tc>
        <w:tc>
          <w:tcPr>
            <w:tcW w:type="dxa" w:w="32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跟风数量与名单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梯队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带动/分支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</w:t>
              <w:br/>
              <w:t>严格：绿电</w:t>
              <w:br/>
              <w:t>宽：电力/电网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严格封板跟风2：恒盛能源、豫能控股；宽口径再加通达股份H2、柘中股份首板。盘中跟涨未涨停：杭州热电、南网能源、广西能源等。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严格：首板有、2/3板缺、H4有→不完整；宽：首板/H2/H4有、H3缺→不完整。第三方“算电协同”宽口径称4-3-2完整，概念边界过宽，单列。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闽东10:01封板；恒盛10:07、豫能13:13封板，时间上存在后续扩散。分支：绿电、算电协同、电网。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带队有效；辨识度最高闽东。封单超16万手曾公开报道，但全天撤单/回封稳定性仍待逐笔。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中新赛克</w:t>
              <w:br/>
              <w:t>严格：网络安全</w:t>
              <w:br/>
              <w:t>宽：AI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严格封板跟风4：天融信、博汇科技、国安股份、永信至诚；宽AI另含中视传媒H2、正和生态H2、返利科技、三人行、启明信息等。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严格：首板+H3，缺H2→不完整；宽AI：首板/H2/H3齐全→完整。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中新与天融信09:25一字；永信09:54。消息催化形成扩散，但一字同刻无法证明单票盘中因果。分支：网络安全、AI应用、算力租赁。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辨识度最高：中新H3；最早有效封板并列。主带队票待确认，不以一字倒推带动。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超声电子</w:t>
              <w:br/>
              <w:t>严格：PCB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严格封板跟风6：澳弘电子H2；康达新材、满坤科技、中京电子、科翔股份、贤丰控股首板。另有6只PCB链触板后炸板（另一统计）。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首板/H2/H3齐全→完整；严格连续板与“6天4板”分开，超声严格H3。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超声09:40有效封板；后续康达09:58、中京10:26、科翔10:51、澳弘13:38，时间顺序支持扩散。分支：PCB、MLCC/离型膜、覆铜板、汽车PCB。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预选主带队：超声；最早封板与辨识度一致。封单稳定性无统一公开数据，仍待确认。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凯盛新能</w:t>
              <w:br/>
              <w:t>严格：玻璃基板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严格同分支封板跟风未确认；宽电子材料/光伏可并入多票，但不足以证明由凯盛带动。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严格仅H3，首板/H2缺→不完整；宽口径待确认。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14:54封板，晚于多数材料股，不支持“最早带队”。分支：玻璃基板、光伏材料。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本分支无已确认带队票；凯盛仅为高度票。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2"/>
        <w:keepNext/>
        <w:spacing w:after="80" w:line="252" w:lineRule="auto"/>
      </w:pPr>
      <w:r>
        <w:rPr>
          <w:rFonts w:ascii="Arial" w:hAnsi="Arial" w:eastAsia="Noto Sans CJK SC"/>
          <w:b/>
          <w:color w:val="111111"/>
          <w:sz w:val="23"/>
        </w:rPr>
        <w:t>B. 当日主流分支带队表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主流分支</w:t>
            </w:r>
          </w:p>
        </w:tc>
        <w:tc>
          <w:tcPr>
            <w:tcW w:type="dxa" w:w="129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最高高度</w:t>
            </w:r>
          </w:p>
        </w:tc>
        <w:tc>
          <w:tcPr>
            <w:tcW w:type="dxa" w:w="180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最早有效封板</w:t>
            </w:r>
          </w:p>
        </w:tc>
        <w:tc>
          <w:tcPr>
            <w:tcW w:type="dxa" w:w="16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封单最稳</w:t>
            </w:r>
          </w:p>
        </w:tc>
        <w:tc>
          <w:tcPr>
            <w:tcW w:type="dxa" w:w="16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辨识度最高</w:t>
            </w:r>
          </w:p>
        </w:tc>
        <w:tc>
          <w:tcPr>
            <w:tcW w:type="dxa" w:w="244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主带队/梯队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跟风/次日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PCB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超声H3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超声09:40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超声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超声预选；1/2/3完整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严格跟风6；9月15日待验证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网络安全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中新H3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中新/天融信09:25一字并列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中新盘中超12万手；全天稳定性待确认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带队待确认；严格缺H2，宽AI完整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严格跟风4；9月15日待验证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绿电/电力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闽东H4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闽东10:01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盘中超16万手；全天稳定性待确认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闽东；严格梯队不完整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严格封板跟风2；9月15日待验证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汽车整车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众泰H2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山子高科09:25一字（重整特殊）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众泰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三项分离，主带队待确认；缺H3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整车封板至少3只跟风；9月15日待验证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CRO/CXO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均H1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万邦医药13:26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万邦医药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万邦预选；仅首板不完整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近岸蛋白等跟风；9月15日待验证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Arial" w:hAnsi="Arial" w:eastAsia="Noto Sans CJK SC"/>
          <w:b/>
          <w:color w:val="111111"/>
          <w:sz w:val="23"/>
        </w:rPr>
        <w:t>C. 前一交易日带队/预选票次日表现账本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16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9月14日真实表现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后排同步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映射结论</w:t>
            </w:r>
          </w:p>
        </w:tc>
        <w:tc>
          <w:tcPr>
            <w:tcW w:type="dxa" w:w="230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后续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9月14日高开约4.54%，10:01封4板，收15.27元涨停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恒盛、豫能首板；电力/电网有扩散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继续涨停→带队有效、情绪延续；但严格梯队不完整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9月15日看后排是否继续晋级；若独自晋级则改判个股抱团/板块延续不足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鼎信通讯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竞价约-2.49%，收跌约-6.5%，未晋级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网络安全由中新等走强，原通信锚未同步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低开走弱，不完全等同“低开闷杀”；带队失败，分支领导权转移待确认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不把新题材修复倒推为鼎信带动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瑞尔特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竞价涨停后收盘跌停，天地板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高位股多只跌停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带队/空间身份证伪，高位情绪转弱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仅作风险负反馈，不作新模式候选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Arial" w:hAnsi="Arial" w:eastAsia="Noto Sans CJK SC"/>
          <w:b w:val="0"/>
          <w:color w:val="5B6573"/>
          <w:sz w:val="17"/>
        </w:rPr>
        <w:t>固定映射：继续涨停→带队有效、情绪延续；高开低走→带队失败、情绪转弱；低开闷杀→带队证伪、可能退潮。未完全匹配时如实描述，不强套。</w:t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9 核心候选竞价/盘中执行卡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46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信号出现怎么做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不出现/负面信号怎么做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09:15—09:25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先核非ST跌停、A杀修复、闽东封单；再看超声/中新/凯盛谁获同组最强竞价，以及各自后排封单。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CLOSED或关键项未知：主动新仓保持0；早段封单不作最终带队结论。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09:30—09:45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观察闽东是否维持空间、PCB与网络安全后排是否同步；记录最早有效封板而非最早触板。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闽东核按钮、高位负反馈扩散或带队票独强后排转弱：只做持仓风控。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09:45—13:30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核均价承接、真实回封、同组分离、板块首板/2板是否继续晋级。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只有个股涨停而跟风退潮：标“个股抱团/板块延续不足”，不追。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13:30—14:35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只有风险闸门先解除，才核超级先手：唯一最高、老空间失效、振幅合规、主动封板/回封。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缺任一条件，或并列未分离、分时剧震、板块无联动：放弃。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14:35以后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只处理已有持仓风险，不新增。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任何14:35后才首次出现的封板，不计超级先手买点。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10 超预期 / 符合预期 / 低预期三套剧本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51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剧本</w:t>
            </w:r>
          </w:p>
        </w:tc>
        <w:tc>
          <w:tcPr>
            <w:tcW w:type="dxa" w:w="446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客观信号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无持仓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已有持仓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超预期/修复</w:t>
            </w:r>
          </w:p>
        </w:tc>
        <w:tc>
          <w:tcPr>
            <w:tcW w:type="dxa" w:w="446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非ST跌停降至个位数且近期A杀批量企稳；闽东继续有效封板；PCB/网络安全的带队票与后排同步晋级。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只有闸门重新评估为OPEN且主体首次窗口独立成立，才重新核验；本报告无盘前买单。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守均价、回封和板块联动；不在直线加速末端加仓。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符合预期/分化</w:t>
            </w:r>
          </w:p>
        </w:tc>
        <w:tc>
          <w:tcPr>
            <w:tcW w:type="dxa" w:w="446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风险略修复但未解除；闽东承接尚可；H3组一强两弱，板块有首板但梯队断层。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继续观察，不把分离或带队确认等同买点。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持强汰弱；带队票独舞而后排退潮时降为个股抱团处理。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低预期/退潮</w:t>
            </w:r>
          </w:p>
        </w:tc>
        <w:tc>
          <w:tcPr>
            <w:tcW w:type="dxa" w:w="446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非ST跌停继续≥10或A杀扩散；闽东低开无承接；H3组集体失败；PCB/网络安全后排批量炸板。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维持空仓，放弃全部候选。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优先利用流动性减仓/退出，不等待尾盘修复。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Arial" w:hAnsi="Arial" w:eastAsia="Noto Sans CJK SC"/>
          <w:b/>
          <w:color w:val="111111"/>
          <w:sz w:val="23"/>
        </w:rPr>
        <w:t>逐票客观观察条件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60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超预期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符合预期</w:t>
            </w:r>
          </w:p>
        </w:tc>
        <w:tc>
          <w:tcPr>
            <w:tcW w:type="dxa" w:w="201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低预期/失效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竞价与量能不弱于9月14日基准，换手后主动回封5板；绿电后排至少一只晋级并新增首板。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围绕15.27及均价换手，未立即封板但承接稳定；板块联动一般。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失守15.27与均价后无承接，或后排全退潮。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超声电子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3进4最早有效封板，PCB的H2澳弘与至少两只首板同步强化。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承接尚可但与同组未分离，PCB局部分化。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竞价低预期、开板无回封，或PCB批量炸板。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中新赛克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一字保持且网络安全后排同步晋级；开板后真实换手再回封。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个股封住但后排分化；仍因一字规则不产生常规买点。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撤单开板无承接、同题材首板批量走弱。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凯盛新能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克服尾盘板弱点，3进4主动早封且玻璃基板出现明确跟风。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承接但无分支扩散，仅高度观察。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低开闷杀或失守9.57无承接；模式观察失效。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11 历史账本与后续阶段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股票/锚点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模式/T日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当前阶段</w:t>
            </w:r>
          </w:p>
        </w:tc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首次窗口</w:t>
            </w:r>
          </w:p>
        </w:tc>
        <w:tc>
          <w:tcPr>
            <w:tcW w:type="dxa" w:w="28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后续处理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广义/狭义空接预期；T=9月11日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9月14日T+1成功；9月15日为后续持仓管理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首次窗口结束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T+1正常可买，不能包装成T+2补救；跟踪带队次日表现。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鼎信通讯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同组预选；T=9月11日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9月14日T+1失败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证伪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严格H归零，转历史账本。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中新赛克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网络安全高度/一字特殊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9月14日H3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常规空接资格未取得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等待高位连续两日有效换手后，再评公告空接龙。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超声电子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PCB带队预选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9月14日严格H3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无主体首次窗口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9月15日只验证带队延续/分离，不创造空接身份。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龙版传媒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空转趋历史池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9月14日复牌跌停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不可买/失效观察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趋势与盘口重建前不列操作候选。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T+2/T+3/T+4：本期无符合条件候选。个人未执行不构成补救；同题材后排不得冒充分支龙头。</w:t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12 受控未知项、数据来源与风险提示</w:t>
      </w:r>
    </w:p>
    <w:p>
      <w:pPr>
        <w:pStyle w:val="Heading2"/>
        <w:keepNext/>
        <w:spacing w:after="80" w:line="252" w:lineRule="auto"/>
      </w:pPr>
      <w:r>
        <w:rPr>
          <w:rFonts w:ascii="Arial" w:hAnsi="Arial" w:eastAsia="Noto Sans CJK SC"/>
          <w:b/>
          <w:color w:val="111111"/>
          <w:sz w:val="23"/>
        </w:rPr>
        <w:t>受控未知项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竞价封单/撤单、逐笔、开板次数、回封量、分时均价和全天封单稳定性：待盘中确认，不能用收盘结果倒推。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东方财富财富号为56涨停/17跌停/36炸板，财联社为55涨停/30炸板，另一收盘统计为56涨停/18跌停/39炸板；报告保留口径差异。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X=7为已维护账本值；9月11日H3锚定组T+1并未全灭，因此9月14日不触发下压。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Y=6沿用最近验证值；两个连续有效A/B的历史来源链未完整恢复，9月14日未产生新A。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宽口径“算电协同”可称4-3-2完整，但严格绿电/电力口径缺2板或3板；报告不以宽口径替代严格口径。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4K/6K量价、时点和失效参数：需回查原文/体系依据不足，不从历史案例补造。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E1第12、13节正文缺失且部分图位缺图；情绪阶段只作辅助约束，不创造身份、买点、窗口或仓位。</w:t>
      </w:r>
    </w:p>
    <w:p>
      <w:pPr>
        <w:pStyle w:val="Heading2"/>
        <w:keepNext/>
        <w:spacing w:after="80" w:line="252" w:lineRule="auto"/>
      </w:pPr>
      <w:r>
        <w:rPr>
          <w:rFonts w:ascii="Arial" w:hAnsi="Arial" w:eastAsia="Noto Sans CJK SC"/>
          <w:b/>
          <w:color w:val="111111"/>
          <w:sz w:val="23"/>
        </w:rPr>
        <w:t>主要公开数据来源（复核时间：2026-09-14 17:27，北京时间）</w:t>
      </w:r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交易日与9月休市核验：</w:t>
      </w:r>
      <w:hyperlink r:id="rId9">
        <w:r>
          <w:rPr>
            <w:color w:val="17365D"/>
            <w:u w:val="single"/>
            <w:rFonts w:eastAsia="Noto Sans CJK SC" w:ascii="Arial" w:hAnsi="Arial"/>
            <w:sz w:val="17"/>
          </w:rPr>
          <w:t>上交所2026年休市安排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55涨停、30炸板、指数、成交额、主流题材与高位负反馈：</w:t>
      </w:r>
      <w:hyperlink r:id="rId10">
        <w:r>
          <w:rPr>
            <w:color w:val="17365D"/>
            <w:u w:val="single"/>
            <w:rFonts w:eastAsia="Noto Sans CJK SC" w:ascii="Arial" w:hAnsi="Arial"/>
            <w:sz w:val="17"/>
          </w:rPr>
          <w:t>财联社焦点复盘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56涨停、17跌停、36炸板、连板梯队、封板时间和题材名单：</w:t>
      </w:r>
      <w:hyperlink r:id="rId11">
        <w:r>
          <w:rPr>
            <w:color w:val="17365D"/>
            <w:u w:val="single"/>
            <w:rFonts w:eastAsia="Noto Sans CJK SC" w:ascii="Arial" w:hAnsi="Arial"/>
            <w:sz w:val="17"/>
          </w:rPr>
          <w:t>东方财富涨跌停复盘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非ST跌停16、炸板率41.1%、题材触板/炸板与算电协同宽口径：</w:t>
      </w:r>
      <w:hyperlink r:id="rId12">
        <w:r>
          <w:rPr>
            <w:color w:val="17365D"/>
            <w:u w:val="single"/>
            <w:rFonts w:eastAsia="Noto Sans CJK SC" w:ascii="Arial" w:hAnsi="Arial"/>
            <w:sz w:val="17"/>
          </w:rPr>
          <w:t>收盘深度统计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10:06前4连板及盘中超16万手封单、绿电跟涨：</w:t>
      </w:r>
      <w:hyperlink r:id="rId13">
        <w:r>
          <w:rPr>
            <w:color w:val="17365D"/>
            <w:u w:val="single"/>
            <w:rFonts w:eastAsia="Noto Sans CJK SC" w:ascii="Arial" w:hAnsi="Arial"/>
            <w:sz w:val="17"/>
          </w:rPr>
          <w:t>闽东电力4连板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3连板、盘中超12万手封单及网络安全跟涨：</w:t>
      </w:r>
      <w:hyperlink r:id="rId14">
        <w:r>
          <w:rPr>
            <w:color w:val="17365D"/>
            <w:u w:val="single"/>
            <w:rFonts w:eastAsia="Noto Sans CJK SC" w:ascii="Arial" w:hAnsi="Arial"/>
            <w:sz w:val="17"/>
          </w:rPr>
          <w:t>中新赛克网络安全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超声电子与PCB板块联动、公司澄清公告摘要：</w:t>
      </w:r>
      <w:hyperlink r:id="rId15">
        <w:r>
          <w:rPr>
            <w:color w:val="17365D"/>
            <w:u w:val="single"/>
            <w:rFonts w:eastAsia="Noto Sans CJK SC" w:ascii="Arial" w:hAnsi="Arial"/>
            <w:sz w:val="17"/>
          </w:rPr>
          <w:t>PCB分支复盘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众泰、海马、安凯涨停及汽车整车联动：</w:t>
      </w:r>
      <w:hyperlink r:id="rId16">
        <w:r>
          <w:rPr>
            <w:color w:val="17365D"/>
            <w:u w:val="single"/>
            <w:rFonts w:eastAsia="Noto Sans CJK SC" w:ascii="Arial" w:hAnsi="Arial"/>
            <w:sz w:val="17"/>
          </w:rPr>
          <w:t>汽车板块复盘</w:t>
        </w:r>
      </w:hyperlink>
    </w:p>
    <w:p>
      <w:pPr>
        <w:keepNext w:val="0"/>
        <w:spacing w:after="60" w:line="252" w:lineRule="auto"/>
      </w:pPr>
      <w:r>
        <w:rPr>
          <w:rFonts w:ascii="Arial" w:hAnsi="Arial" w:eastAsia="Noto Sans CJK SC"/>
          <w:b w:val="0"/>
          <w:color w:val="5B6573"/>
          <w:sz w:val="17"/>
        </w:rPr>
        <w:t>口径纪律：严格H只计连续涨停，N+反包不累计；同题材跟风按“封住涨停/触板炸板/明显跟涨未板”分层。</w:t>
      </w:r>
    </w:p>
    <w:p>
      <w:pPr>
        <w:keepNext w:val="0"/>
        <w:spacing w:after="60" w:line="252" w:lineRule="auto"/>
      </w:pPr>
      <w:r>
        <w:rPr>
          <w:rFonts w:ascii="Arial" w:hAnsi="Arial" w:eastAsia="Noto Sans CJK SC"/>
          <w:b/>
          <w:color w:val="A61B1B"/>
          <w:sz w:val="18"/>
        </w:rPr>
        <w:t>风险提示：仅用于整理用户私有交易理论，不构成投资建议，不承诺收益。高位股票可能快速跌停、无法成交或停牌；所有动作以实时风险闸门和客观触发为前提。</w:t>
      </w:r>
    </w:p>
    <w:sectPr w:rsidR="00FC693F" w:rsidRPr="0006063C" w:rsidSect="00034616">
      <w:footerReference w:type="default" r:id="rId17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color w:val="5B6573"/>
        <w:sz w:val="15"/>
      </w:rPr>
      <w:t xml:space="preserve">2026年9月15日 A股模式股盘前操作策略｜第 </w:t>
    </w:r>
    <w:fldSimple w:instr="PAGE"/>
    <w:r>
      <w:rPr>
        <w:rFonts w:ascii="Arial" w:hAnsi="Arial" w:eastAsia="Noto Sans CJK SC"/>
        <w:b w:val="0"/>
        <w:color w:val="5B6573"/>
        <w:sz w:val="15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2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11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se.com.cn/disclosure/announcement/general/c/c_20251222_10802507.shtml" TargetMode="External"/><Relationship Id="rId10" Type="http://schemas.openxmlformats.org/officeDocument/2006/relationships/hyperlink" Target="https://finance.eastmoney.com/a/202609143873494547.html" TargetMode="External"/><Relationship Id="rId11" Type="http://schemas.openxmlformats.org/officeDocument/2006/relationships/hyperlink" Target="https://caifuhao.eastmoney.com/news/20260914155203077017660" TargetMode="External"/><Relationship Id="rId12" Type="http://schemas.openxmlformats.org/officeDocument/2006/relationships/hyperlink" Target="https://www.logic88.cn/186738.html" TargetMode="External"/><Relationship Id="rId13" Type="http://schemas.openxmlformats.org/officeDocument/2006/relationships/hyperlink" Target="https://m.21jingji.com/article/20260914/herald/9c286a70ec6c82f02929726c71f7248e.html" TargetMode="External"/><Relationship Id="rId14" Type="http://schemas.openxmlformats.org/officeDocument/2006/relationships/hyperlink" Target="https://finance.sina.com.cn/wm/2026-09-14/doc-iniruhxe4052656.shtml" TargetMode="External"/><Relationship Id="rId15" Type="http://schemas.openxmlformats.org/officeDocument/2006/relationships/hyperlink" Target="https://finance.eastmoney.com/a/202609143873233643.html" TargetMode="External"/><Relationship Id="rId16" Type="http://schemas.openxmlformats.org/officeDocument/2006/relationships/hyperlink" Target="https://finance.eastmoney.com/a/202609143873248636.html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2026年9月15日 A股模式股盘前操作策略</dc:title>
  <dc:subject>基于2026年9月14日收盘的私有体系盘前执行报告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