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 w:eastAsia="Noto Sans CJK SC"/>
          <w:b/>
          <w:color w:val="111111"/>
          <w:sz w:val="42"/>
        </w:rPr>
        <w:t>2026年9月16日 A股模式股盘前操作策略</w:t>
      </w:r>
    </w:p>
    <w:p>
      <w:pPr>
        <w:spacing w:after="140"/>
        <w:jc w:val="center"/>
      </w:pPr>
      <w:r>
        <w:rPr>
          <w:rFonts w:ascii="Arial" w:hAnsi="Arial" w:eastAsia="Noto Sans CJK SC"/>
          <w:b w:val="0"/>
          <w:color w:val="5B6573"/>
          <w:sz w:val="21"/>
        </w:rPr>
        <w:t>基于2026年9月15日收盘</w:t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8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analysis_date：2026-09-15 17:33（北京时间）</w:t>
              <w:br/>
              <w:t>latest_market_date：2026-09-15</w:t>
              <w:br/>
              <w:t>target_trade_date：2026-09-16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交易日历核验：9月15日已完整收盘；9月16日为下一正式交易日。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非ST口径跌停约27只，且9月14日为16只，连续正式交易日≥10；高位A杀与二连跌停扩散。禁止主动新开仓。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AVOID｜置信度：高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中周期：退潮/下跌第四阶段；小周期：冰点再确认。指数、广度、跌停与高位负反馈共振走弱，E1不能解除CLOSED。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无明日第一次新开仓候选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闽东电力、中新赛克继续晋级但首次窗口均非新生；H3/H2梯队未成为新空间或合格隐形空间。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仅观察，不执行主动买入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即使出现分离、弱转强或板块带动，风险闸门未解除前仍不买。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主动新仓=0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母规则强制空仓；已有持仓仅做风控。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Hmax=5｜X=7｜C=4｜Y=6*</w:t>
              <w:br/>
              <w:t>H：闽东5；中新4；双星/澳弘3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X≠C≠Y。Y沿用最近验证值，连续两条历史压制来源仍待完整恢复。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风电：闽东电力带队有效</w:t>
              <w:br/>
              <w:t>AI应用/安全：中新赛克带队有效</w:t>
              <w:br/>
              <w:t>严格PCB：澳弘电子预选</w:t>
              <w:br/>
              <w:t>MLCC材料：双星新材预选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封单稳定性以公开收盘口径记录；撤单、逐笔与实际回封量仍待核。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无新开仓候选</w:t>
            </w:r>
          </w:p>
        </w:tc>
        <w:tc>
          <w:tcPr>
            <w:tcW w:type="dxa" w:w="46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观察闽东持仓风控、3板组分离和板块后排联动；14:35后不新增。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20"/>
        </w:rPr>
        <w:t>总原则：先风险、再情绪环境、后身份与买点。CLOSED期间所有模式只观察或管理持仓。</w:t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5B6573"/>
          <w:sz w:val="17"/>
        </w:rPr>
        <w:t>仅用于整理用户私有交易理论，不构成投资建议。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2026年9月15日为正式交易日且17:00后完整收盘数据可核；9月16日不在交易所休市区间。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收盘口径A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财联社：32股涨停、7只连板、连板晋级率36.36%；全市场超4300股下跌。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收盘口径B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连板网：32涨停、27跌停、24炸板、封板率57.1%；金融界为34跌停。两者口径差异保留。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沪指-0.54%、深成指-0.72%、创业板指-1.15%；成交16127.17亿元，较前日缩量约164.58亿元。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高位负反馈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红棉股份、云南旅游3连跌停；龙版传媒、瑞尔特等6股2连跌停；金健米业、国芳集团、桂林旅游跌停。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连板网非ST口径9月15日跌停27只，9月14日16只；连续两个正式交易日≥10，且A杀未企稳。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7"/>
              </w:rPr>
              <w:t>CLOSED。主动新仓为0；任何空接、压突、超级先手、弱转强或分离信号均不得越过闸门。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阶段假设与证据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退潮/下跌第四阶段假设。高位连续A杀、跌停扩张与指数走弱共振，尚无完整转势链。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冰点再确认。9月14日弱修复未能延续，9月15日涨停骤降、跌停增加、首板晋级率仅6%。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主要指数普跌，科创50逆势；全市场逾4300股下跌，指数与科技局部强势明显背离。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仅闽东、中新和两只H3保持前排；大多数个股下跌，昨日涨停中位约0，后排接力弱。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指数、市场广度、跌停与高位负反馈共振走弱；PCB、风电、AI安全仅局部抱团。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Hmax从4拓展到5；闽东和中新晋级，风电6只、AI应用4只涨停。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反证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27/34跌停、24炸板、4300余股下跌、成交创年内新低，高位A杀未止。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许可/置信度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AVOID，高置信度。只保留观察、持仓管理和风险退出；P0 CLOSED决定主动新仓为0。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原节次/边界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E1第7—10、21、23、25节；阶段标签不是买卖信号。第12、13节正文缺失处不补造。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8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9月8日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三只4板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6→4断层压缩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9月9日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百大集团5板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局部回升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9月10日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桂林旅游4板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5→4再压缩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瑞尔特4板（一字特殊）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高度平移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有效梯队单票晋级</w:t>
            </w:r>
          </w:p>
        </w:tc>
      </w:tr>
      <w:tr>
        <w:trPr>
          <w:cantSplit/>
        </w:trPr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</w:t>
            </w:r>
          </w:p>
        </w:tc>
        <w:tc>
          <w:tcPr>
            <w:tcW w:type="dxa" w:w="7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空间拓展；X主干未触发重算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6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闽东电力真实5连板；中新赛克4板居次。公告风险提示保留，但不改变客观Hmax。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有效空间主干继续由闽东拓展至H5；没有广义空接锚定梯队T+1全灭事件，不触发X下压。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C=clamp(X−3,3,5)=4；未确认两轮全淘汰或连续两次压在3板及以下的重置。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沿用最近验证的压突天花板；历史连续两条有效A/B来源链仍未完整恢复，禁止用Hmax=5重算。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闽东5；中新赛克4；双星新材3；澳弘电子3；启明/博汇/宏盛2；超声电子、凯盛新能均断板。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20"/>
        </w:rPr>
        <w:t>强制标记：X≠C≠Y。C=4&lt;Hmax=5&lt;Y=6；高度、资格、身份与买点必须分层。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3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沿用结果；源链待补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9月14日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9月11日H3锚定组T+1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不构成A：闽东晋级、并非全灭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未形成新压制信号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前排继续晋级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不构成A/B：无有效筛选梯队全灭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未形成新压制信号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4 2026年9月16日第一次可操作/验证对象</w:t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20"/>
        </w:rPr>
        <w:t>结论：无新开仓候选。风险闸门CLOSED先行否决；同时，9月15日收盘没有产生“首次成为新空间或合格隐形空间且仍处第一次窗口”的对象。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时间/身份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9月16日价值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模式T=9月11日；T+1=9月14日；latest为T+2=9月15日；target为T+3=9月16日；首次窗口结束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持仓风控与空间延续锚；H5&lt;Y6仍为屋顶下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不追；风险关闭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看16.80元、均价、爆量承接及风电后排；低预期利用流动性退出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 002912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H4；9月15日首次高位有效换手候选；公告/起手一字特殊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9月16日只验证第二次有效换手与AI安全带队延续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开板失承接或后排退潮时风控；不能预先认定公告空接龙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双星新材 002585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H3；MLCC材料高度；非首次新空间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3进4同身位分离与带队验证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守12.06元、均价与封单；公告澄清导致题材证伪时优先风控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H3；严格PCB高度；非首次新空间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3进4分离与PCB后排联动验证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看40.30元、回封与板块扩散；封单弱且后排批量回落则退出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逐票身份与数据卡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完整字段记录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题材：电力/风电映射；H=5，Hmax=5，X=7，C=4，Y=6*。公告：异常波动并澄清算电协同/海风收入；非一字、未停牌、非被动空间。非首次成为新空间；H&gt;C，不通过当日广义空接新筛选。历史广义空接/潜在空拐锚，模式T=9月11日、T+1=9月14日、T+2=9月15日、target T+3=9月16日；首次窗口失效。9月15日超级先手：否。9月16日价值：空间与带队风控锚。触发：公告后仍有真实换手回封且后排晋级；绝对禁止：CLOSED、无后排、剧震或14:35后新开。失效：跌破16.80与均价且无承接。数据缺口：逐笔/撤单。无持仓不追；已有持仓按承接与流动性处理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 002912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题材：AI安全/网络安全；H=4，Hmax=5，X=7，C=4，Y=6*。起手连续一字特殊，9月15日开板放量回封；未停牌、被动空间否。非首次新空间；H≤C但公告/一字特殊及时间身份未完成。公告空接观察，首次有效换手候选日=9月15日；9月16日验证第二日，首次窗口尚未取得。9月15日超级先手：否。触发：第二次真实换手回封并带动H2/首板；绝对禁止：CLOSED、虚假撤单、单票独舞。失效：开板无承接或后排全退。数据缺口：换手有效性与逐笔。无持仓不买；已有持仓只做风控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双星新材 002585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题材：MLCC离型膜/元器件；H=3，Hmax=5，X=7，C=4，Y=6*。异常波动公告；非一字、未停牌、非被动空间。非首次新空间；H≤C但无广义空接身份。带队预选日=9月15日；9月16日为3进4分离验证，非主体首次窗口。9月15日超级先手：否。触发：同组最早有效4板、封单稳定、后排强化；绝对禁止：CLOSED、公告题材证伪、反复炸板。失效：低开无承接或板块退潮。数据缺口：逐笔封单稳定性。无持仓不买；已有持仓看12.06与均价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题材：PCB/通信材料；H=3，Hmax=5，X=7，C=4，Y=6*。异常波动公告；非一字、未停牌、非被动空间。非首次新空间；H≤C但无广义空接身份。严格PCB带队预选日=9月15日；9月16日为3进4分离验证，非主体首次窗口。9月15日超级先手：否。触发：同组最早有效4板且PCB首板晋级；绝对禁止：CLOSED、封单脆弱、后排批量炸板。失效：失守40.30与均价无承接。数据缺口：逐笔/真实回封量。无持仓不买；已有持仓以联动风控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5 今天盘中超级先手结果与明天常规节点（分池）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不是新先手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09:30封5板，属于历史锚点后续抱龙/持仓阶段；不能包装成9月16日新机会。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盘中开板后午后回封4板，但上方闽东5板有效，不是独一份最高空间。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双星/澳弘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09:36/09:37封3板，上方H5/H4均有效；不满足唯一最高与老空间失效。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9月16日常规节点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无第一次常规介入对象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前排均已给过正常成交机会或不具主体新T日；个人未买不能转为补救。</w:t>
            </w:r>
          </w:p>
        </w:tc>
      </w:tr>
      <w:tr>
        <w:trPr>
          <w:cantSplit/>
        </w:trPr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9月16日待触发超级先手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H3/H2梯队仅作条件观察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CLOSED时禁止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只有闸门先解除、老空间快速确认淘汰、同层唯一至强者在规定时段主动封板/回封且振幅合规，才重新核验。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6 T日“有望成为”预选池与逐票淘汰原因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5/4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历史空间锚；不列新广义空接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H&gt;C且并非首次成为空间；9月15日爆量晋级只强化空间代表性，不恢复首次窗口。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 002912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公告空接筛选观察，尚未确认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H≤C但并非新空间；9月15日为首个高位有效换手候选，仍缺连续第二日证据。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双星新材 002585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H≤C但上方H5/H4均具有效带动，不是新空间或隐形空间。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H≤C但非新空间；仅作严格PCB高度与同身位分离观察。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启明信息 002232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H≤C但位于完整上方梯队之下；未取得空间身份。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博汇科技 688004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20cm H2；未取得空间身份，且实时换手/封单稳定性待核。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7 广义空接、断板龙、压突及全部模式扫描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无当日新T日候选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闽东H5为历史锚点后续；H4/H3组均未首次成为新空间或隐形空间。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未形成新的空间压缩中继锚；身份、T日先手与T+1接力分开。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闽东历史属性继续强化；无新T日候选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压缩后已由H3升至H5；仅作历史/持仓，不回补首次窗口。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中新进入观察但未确认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起手一字特殊；9月15日仅形成一次高位开板换手候选，尚缺连续第二日有效换手。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上方与H3组仅差一层，不满足至少断两层；被动空间证据链也不完整。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盘中缺上方被动空间明显失效＋下方隐形空间逐级唯一上位的完整先手链。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无突破候选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闽东H5、中新H4、双星/澳弘H3，全部H&lt;Y=6，仍在屋顶下。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无新开仓补救候选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闽东、中新均已提供可成交换手机会；个人未买不构成补救。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缺完整主体身份与抱阳前置。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无可执行候选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龙版传媒连续跌停且趋势/盘口未重建；空转趋只提供跟踪对象，不创造买点。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瑞尔特/鼎信失败不能反向创造龙头身份。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经典弱转强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无盘前确认候选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必须基于前日盘口并由实时竞价、量能、均价和板块联动确认。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双星/澳弘H3待观察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同组原则只认第一只有效4板，但分离不能反向创造空接身份。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8 板块梯队、主流分支与带队票验证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A. 核心观察对象板块验证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梯队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带动/分支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  <w:br/>
              <w:t>严格：绿电</w:t>
              <w:br/>
              <w:t>宽：风电/电力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严格风电封板跟风5：吉鑫科技、大金重工、天顺风能、锡华科技、中闽能源；其中天顺为4天2板，严格H按断板归零/N+反包。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H5+首板，严格H2/H3/H4均缺→不完整；宽口径仍不完整。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闽东09:30封5板，随后吉鑫10:12、大金10:17、天顺10:46、锡华11:04、中闽11:12，时间上有清晰扩散。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主带队确认：闽东。最早封板、最高辨识度一致；但公告澄清算电协同/海风收入，题材风险上升。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  <w:br/>
              <w:t>严格：AI安全</w:t>
              <w:br/>
              <w:t>宽：AI应用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封板跟风3：启明信息H2、博汇科技H2、汉王科技首板；天融信触板后炸板，不计收盘涨停。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H4+H2+首板，缺H3→不完整；触板炸板单列。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中新09:25起手一字，开板放量后午后回封；启明09:30、博汇09:31、汉王09:35，分支有延续但一字因果仍需谨慎。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主带队确认：中新；高度与辨识度最高。封单稳定性被开板分歧削弱，9月16日验证第二次换手。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澳弘电子</w:t>
              <w:br/>
              <w:t>严格：PCB</w:t>
              <w:br/>
              <w:t>宽：通信材料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严格涨停跟风至少3：华正新材、欧克科技、通鼎互联首板；超声电子+5.6%未封，另有多只PCB触板炸板。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H3+首板，缺H2→不完整；若把液冷宏盛H2并入宽算力材料，仍属宽口径。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澳弘09:37封3板；华正09:31早于澳弘，说明“最早封板”与“最高辨识度”分离。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严格PCB主带队预选澳弘；最早有效封板票华正，封单最稳待确认，不硬合并。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双星新材</w:t>
              <w:br/>
              <w:t>严格：MLCC离型膜</w:t>
              <w:br/>
              <w:t>宽：元器件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封板跟风1：华瓷股份首板；风华高科未涨停。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H3+首板，缺H2→不完整。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双星09:36封3板、公开封单约1.54亿元；但公司公告称未涉及AI算力且相关营收占比很低。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MLCC材料主带队预选双星；封单较稳、辨识度高，但题材叙事须按公告降级。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B.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2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最高高度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封单最稳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24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主带队/梯队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跟风/次日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风电/电力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闽东H5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闽东09:30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大金封单约1.49亿；闽东稳定性待逐笔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闽东确认；H5+首板，不完整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封板跟风5；9月16日验证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AI应用/安全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中新H4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中新09:25一字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启明约9290万；中新约6310万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中新确认；缺H3，不完整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封板跟风3、炸板1；9月16日验证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严格PCB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澳弘H3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华正09:31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待确认；澳弘收盘封单偏小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澳弘预选；缺H2，不完整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封板跟风至少3；9月16日验证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MLCC材料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双星H3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双星09:36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双星约1.54亿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双星预选；缺H2，不完整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严格跟风1；公告削弱叙事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锂电池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均H1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金龙羽09:30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金龙羽约1.23亿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金龙羽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金龙羽预选；仅首板，不完整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封板跟风3；9月16日验证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C. 前一交易日带队/预选票次日表现账本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16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9月15日真实表现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竞价约+5%，09:30封5板，收16.80元涨停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风电5只跟风封板，但中间2/3/4板断层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继续涨停→带队有效、情绪延续；梯队仍不完整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9月16日若独自晋级而首板全退潮，改判个股抱团/板块延续不足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一字开盘后放量分歧，午后回封4板，收28.45元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启明、博汇H2及汉王首板，天融信炸板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继续涨停→带队有效；开板说明分歧加大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9月16日核第二次高位有效换手与后排晋级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超声电子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竞价约+1.6%，盘中触板后炸板，收涨约5.6%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澳弘、双星晋H3；PCB/材料多只首板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未继续涨停，原带队预选未延续；板块领导权转移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不把板块上涨倒推为超声继续带队；转看澳弘/双星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固定映射：继续涨停→带队有效、情绪延续；高开低走→带队失败、情绪转弱；低开闷杀→带队证伪、可能退潮。未完全匹配时如实描述，不强套。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9 核心候选竞价/盘中执行卡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不出现/负面信号怎么做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先核跌停是否降个位数、A杀修复、闽东公告后封单；再看中新第二次换手预期与双星/澳弘竞价。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CLOSED或关键项未知：主动新仓保持0；一字封单不作最终带队结论。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观察闽东是否维持H5空间；记录双星/澳弘谁先有效4板，以及AI安全H2后排是否晋级。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闽东核按钮、高位负反馈扩散或带队票独强后排转弱：只做持仓风控。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核均价承接、真实回封、双星/澳弘分离、板块首板与H2是否继续晋级。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只有个股涨停而跟风退潮：标“个股抱团/板块延续不足”，不追。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只有风险闸门先解除，才核超级先手：唯一最高、老空间失效、振幅合规、主动封板/回封。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缺任一条件，或并列未分离、分时剧震、板块无联动：放弃。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只处理已有持仓风险，不新增。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任何14:35后才首次出现的封板，不计超级先手买点。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10 超预期 / 符合预期 /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46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超预期/修复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非ST跌停降至个位数且A杀批量企稳；闽东公告后仍有效承接；中新与双星/澳弘后排同步晋级。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只有闸门重新评估为OPEN且主体首次窗口独立成立，才重新核验；本报告无盘前买单。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守均价、回封和板块联动；不在直线加速末端加仓。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符合预期/分化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风险略修复但未解除；闽东承接尚可；双星/澳弘一强一弱，板块有首板但梯队断层。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继续观察，不把分离或带队确认等同买点。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持强汰弱；带队票独舞而后排退潮时降为个股抱团。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低预期/退潮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跌停继续≥10或A杀扩散；闽东低开无承接；H4/H3集体失败；PCB/AI安全后排批量炸板。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维持空仓，放弃全部候选。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优先利用流动性减仓/退出，不等待尾盘修复。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6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低预期/失效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公告风险后仍主动换手回封6板，且风电至少一只首板晋H2并有新增首板。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围绕16.80与均价换手，承接稳定但后排分化。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失守16.80与均价后无承接，或后排全退潮。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第二次高位有效换手后回封5板，启明/博汇至少一只晋级且新增首板。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个股封住但后排分化；公告空接身份仍待收盘确认。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开板无承接、失守28.45或同题材批量走弱。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双星新材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3进4率先有效封板，封单稳定，元器件/MLCC后排同步强化且公告风险被市场消化。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承接尚可但与澳弘未分离，板块局部分化。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低开无承接、公告叙事证伪扩散或开板无回封。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3进4率先有效封板，PCB首板至少两只晋级，并出现新首板扩散。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承接尚可但与双星未分离，PCB局部分化。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失守40.30与均价、开板无回封，或PCB批量炸板。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模式/T日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广义空接/潜在空拐历史锚；T=9月11日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T+1=9月14日；T+2=9月15日晋5板；target T+3=9月16日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首次窗口结束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时间标签不等于补救买点；跟踪公告后承接和带队次日表现。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中新赛克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AI安全高度/起手一字特殊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9月15日H4并首次高位开板换手候选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公告空接尚未确认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9月16日仅验证连续第二日有效换手；收盘后才可能更新身份。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双星新材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MLCC材料带队预选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9月15日H3；9月16日分离验证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公告明确未涉AI算力、相关业务占比低；只验证带队，不创造身份。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PCB带队预选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9月15日H3；9月16日分离验证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看严格PCB后排晋级与最早有效4板。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龙版传媒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空转趋历史池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截至9月15日连续跌停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不可买/失效观察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111111"/>
                <w:sz w:val="16"/>
              </w:rPr>
              <w:t>趋势与盘口重建前不列操作候选。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Arial" w:hAnsi="Arial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T+2/T+3/T+4：本期无符合条件候选。个人未执行不构成补救；同题材后排不得冒充分支龙头。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Arial" w:hAnsi="Arial" w:eastAsia="Noto Sans CJK SC"/>
          <w:b/>
          <w:color w:val="111111"/>
          <w:sz w:val="31"/>
        </w:rPr>
        <w:t>12 受控未知项、数据来源与风险提示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竞价封单/撤单、逐笔、开板次数、回封量、分时均价和全天封单稳定性：待盘中确认，不能用收盘结果倒推。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连板网为32涨停/27跌停/24炸板，金融界为32涨停/34跌停；统计口径不同，报告同时保留，不选有利口径。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X=7为已维护账本值；有效主干继续拓展，9月15日没有T+1锚定梯队全灭事件。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Y=6沿用最近验证值；两个连续有效A/B的历史来源链未完整恢复，9月15日未产生新A或B。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风电口径有H5与5只首板/N+反包，但严格H2/H3/H4断层；不得笼统称完整梯队。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中新赛克9月15日开板换手可列第一次有效换手候选；是否满足体系认可仍需逐笔核验，不能提前确认公告空接龙。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4K/6K量价、时点和失效参数：需回查原文/体系依据不足，不从历史案例补造。</w:t>
      </w:r>
    </w:p>
    <w:p>
      <w:pPr>
        <w:pStyle w:val="ListBullet"/>
        <w:spacing w:after="30" w:line="252" w:lineRule="auto"/>
      </w:pPr>
      <w:r>
        <w:rPr>
          <w:rFonts w:ascii="Arial" w:hAnsi="Arial" w:eastAsia="Noto Sans CJK SC"/>
          <w:b w:val="0"/>
          <w:color w:val="111111"/>
          <w:sz w:val="18"/>
        </w:rPr>
        <w:t>E1第12、13节正文缺失且部分图位缺图；情绪阶段只作辅助约束，不创造身份、买点、窗口或仓位。</w:t>
      </w:r>
    </w:p>
    <w:p>
      <w:pPr>
        <w:pStyle w:val="Heading2"/>
        <w:keepNext/>
        <w:spacing w:after="80" w:line="252" w:lineRule="auto"/>
      </w:pPr>
      <w:r>
        <w:rPr>
          <w:rFonts w:ascii="Arial" w:hAnsi="Arial" w:eastAsia="Noto Sans CJK SC"/>
          <w:b/>
          <w:color w:val="111111"/>
          <w:sz w:val="23"/>
        </w:rPr>
        <w:t>主要公开数据来源（复核时间：2026-09-15 17:33，北京时间）</w:t>
      </w:r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交易日与9月休市核验：</w:t>
      </w:r>
      <w:hyperlink r:id="rId9">
        <w:r>
          <w:rPr>
            <w:color w:val="17365D"/>
            <w:u w:val="single"/>
            <w:rFonts w:eastAsia="Noto Sans CJK SC" w:ascii="Arial" w:hAnsi="Arial"/>
            <w:sz w:val="17"/>
          </w:rPr>
          <w:t>上交所2026年休市安排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32涨停、7连板、晋级率、高位A杀、闽东/中新盘面与主流题材：</w:t>
      </w:r>
      <w:hyperlink r:id="rId10">
        <w:r>
          <w:rPr>
            <w:color w:val="17365D"/>
            <w:u w:val="single"/>
            <w:rFonts w:eastAsia="Noto Sans CJK SC" w:ascii="Arial" w:hAnsi="Arial"/>
            <w:sz w:val="17"/>
          </w:rPr>
          <w:t>财联社连板复盘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32涨停、27跌停、24炸板、封板时间、连板梯队与题材分支：</w:t>
      </w:r>
      <w:hyperlink r:id="rId11">
        <w:r>
          <w:rPr>
            <w:color w:val="17365D"/>
            <w:u w:val="single"/>
            <w:rFonts w:eastAsia="Noto Sans CJK SC" w:ascii="Arial" w:hAnsi="Arial"/>
            <w:sz w:val="17"/>
          </w:rPr>
          <w:t>连板网收盘天梯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34跌停、指数、成交额、高位负反馈与PCB/风电/AI安全：</w:t>
      </w:r>
      <w:hyperlink r:id="rId12">
        <w:r>
          <w:rPr>
            <w:color w:val="17365D"/>
            <w:u w:val="single"/>
            <w:rFonts w:eastAsia="Noto Sans CJK SC" w:ascii="Arial" w:hAnsi="Arial"/>
            <w:sz w:val="17"/>
          </w:rPr>
          <w:t>金融界涨停复盘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核心收盘价、连板数和收盘封单金额：</w:t>
      </w:r>
      <w:hyperlink r:id="rId13">
        <w:r>
          <w:rPr>
            <w:color w:val="17365D"/>
            <w:u w:val="single"/>
            <w:rFonts w:eastAsia="Noto Sans CJK SC" w:ascii="Arial" w:hAnsi="Arial"/>
            <w:sz w:val="17"/>
          </w:rPr>
          <w:t>涨停股与封单表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连续涨停、业绩背离及算电协同/海风业务澄清：</w:t>
      </w:r>
      <w:hyperlink r:id="rId14">
        <w:r>
          <w:rPr>
            <w:color w:val="17365D"/>
            <w:u w:val="single"/>
            <w:rFonts w:eastAsia="Noto Sans CJK SC" w:ascii="Arial" w:hAnsi="Arial"/>
            <w:sz w:val="17"/>
          </w:rPr>
          <w:t>闽东电力异常波动公告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MLCC项目占比、未涉AI算力及短期过热风险：</w:t>
      </w:r>
      <w:hyperlink r:id="rId15">
        <w:r>
          <w:rPr>
            <w:color w:val="17365D"/>
            <w:u w:val="single"/>
            <w:rFonts w:eastAsia="Noto Sans CJK SC" w:ascii="Arial" w:hAnsi="Arial"/>
            <w:sz w:val="17"/>
          </w:rPr>
          <w:t>双星新材异常波动公告</w:t>
        </w:r>
      </w:hyperlink>
    </w:p>
    <w:p>
      <w:pPr>
        <w:spacing w:after="40"/>
      </w:pPr>
      <w:r>
        <w:rPr>
          <w:rFonts w:ascii="Arial" w:hAnsi="Arial" w:eastAsia="Noto Sans CJK SC"/>
          <w:b w:val="0"/>
          <w:color w:val="111111"/>
          <w:sz w:val="17"/>
        </w:rPr>
        <w:t>连续交易异常波动与风险提示：</w:t>
      </w:r>
      <w:hyperlink r:id="rId16">
        <w:r>
          <w:rPr>
            <w:color w:val="17365D"/>
            <w:u w:val="single"/>
            <w:rFonts w:eastAsia="Noto Sans CJK SC" w:ascii="Arial" w:hAnsi="Arial"/>
            <w:sz w:val="17"/>
          </w:rPr>
          <w:t>澳弘电子异常波动公告</w:t>
        </w:r>
      </w:hyperlink>
    </w:p>
    <w:p>
      <w:pPr>
        <w:keepNext w:val="0"/>
        <w:spacing w:after="60" w:line="252" w:lineRule="auto"/>
      </w:pPr>
      <w:r>
        <w:rPr>
          <w:rFonts w:ascii="Arial" w:hAnsi="Arial" w:eastAsia="Noto Sans CJK SC"/>
          <w:b w:val="0"/>
          <w:color w:val="5B6573"/>
          <w:sz w:val="17"/>
        </w:rPr>
        <w:t>口径纪律：严格H只计连续涨停，N+反包不累计；同题材跟风按“封住涨停/触板炸板/明显跟涨未板”分层。</w:t>
      </w:r>
    </w:p>
    <w:p>
      <w:pPr>
        <w:keepNext w:val="0"/>
        <w:spacing w:after="60" w:line="252" w:lineRule="auto"/>
      </w:pPr>
      <w:r>
        <w:rPr>
          <w:rFonts w:ascii="Arial" w:hAnsi="Arial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风险提示：仅用于整理用户私有交易理论，不构成投资建议，不承诺收益。高位股票可能快速跌停、无法成交或停牌；所有动作以实时风险闸门和客观触发为前提。</w:t>
      </w:r>
    </w:p>
    <w:sectPr w:rsidR="00FC693F" w:rsidRPr="0006063C" w:rsidSect="00034616">
      <w:footerReference w:type="default" r:id="rId17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B6573"/>
        <w:sz w:val="15"/>
      </w:rPr>
      <w:t xml:space="preserve">2026年9月16日 A股模式股盘前操作策略｜第 </w:t>
    </w:r>
    <w:fldSimple w:instr="PAGE"/>
    <w:r>
      <w:rPr>
        <w:rFonts w:ascii="Arial" w:hAnsi="Arial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finance.eastmoney.com/a/202609153874676262.html" TargetMode="External"/><Relationship Id="rId11" Type="http://schemas.openxmlformats.org/officeDocument/2006/relationships/hyperlink" Target="https://lianban.net/days/2026-09-15.html" TargetMode="External"/><Relationship Id="rId12" Type="http://schemas.openxmlformats.org/officeDocument/2006/relationships/hyperlink" Target="https://stock.jrj.com.cn/2026/09/15163258442576.shtml" TargetMode="External"/><Relationship Id="rId13" Type="http://schemas.openxmlformats.org/officeDocument/2006/relationships/hyperlink" Target="https://stock.cngold.org/c/2026-09-15/c10759589.html" TargetMode="External"/><Relationship Id="rId14" Type="http://schemas.openxmlformats.org/officeDocument/2006/relationships/hyperlink" Target="https://static.cninfo.com.cn/finalpage/2026-09-15/1225564092.PDF" TargetMode="External"/><Relationship Id="rId15" Type="http://schemas.openxmlformats.org/officeDocument/2006/relationships/hyperlink" Target="https://disc.static.szse.cn/download/disc/disk03/finalpage/2026-09-15/3c46d93c-a8bf-4593-bdc7-bc806b029c20.PDF" TargetMode="External"/><Relationship Id="rId16" Type="http://schemas.openxmlformats.org/officeDocument/2006/relationships/hyperlink" Target="https://epaper.cs.com.cn/zgzqb/images/2026-09/15/B040/zqB04015.pdf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2026年9月16日 A股模式股盘前操作策略</dc:title>
  <dc:subject>基于2026年9月15日收盘的私有体系盘前执行报告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