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2026年9月17日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基于2026年9月16日收盘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analysis_date：2026-09-16 17:27（北京时间）</w:t>
              <w:br/>
              <w:t>latest_market_date：2026-09-16</w:t>
              <w:br/>
              <w:t>target_trade_date：2026-09-17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9月16日已完整收盘；9月17日为下一正式交易日。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9月16日跌停降至4只，但9月14日、15日连续≥10触发的强制空仓尚未解除；国芳、桂林续跌停，中新、天融信跌停，旧周期A杀未批量企稳。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CAUTION｜置信度：中高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中周期：退潮期修复/下跌第三阶段反抽假设；小周期：冰点后强修复、高潮首日。广度与连板修复明显，但高位新旧周期背离。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无明日第一次新开仓候选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闽东H6为历史空间锚且已摸Y；澳弘H4、博汇H3均非首次新空间或合格隐形空间。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仅观察与持仓管理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即使9月17日闽东6进7突破Y，CLOSED未解除仍不得主动新开。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主动新仓=0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母规则强制空仓；已有持仓只按承接、回封与板块联动风控。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Hmax=6｜X=7｜C=4｜Y=6*</w:t>
              <w:br/>
              <w:t>H：闽东6；澳弘4；博汇3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X≠C≠Y。闽东H=Y为摸天花板；Y沿用最近验证值，历史源链仍待恢复。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福建海西：闽东电力</w:t>
              <w:br/>
              <w:t>通信/PCB：澳弘电子</w:t>
              <w:br/>
              <w:t>芯片：中晶科技</w:t>
              <w:br/>
              <w:t>AI应用：博汇科技预选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通信20家、芯片13家、福建海西6家；带队与梯队证据分开记录。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无新开仓候选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重点验证闽东摸Y后的次日反馈、澳弘通信后排、博汇AI应用联动；14:35后不新增。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总原则：先风险、再情绪环境、后身份与买点。风险闸门未解除前，修复与高潮标签不能提高交易权限。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2026年9月16日为正式交易日，17:00后收盘数据已可核；9月17日不在交易所休市区间。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收盘口径A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财联社：89股涨停、12只连板、连板晋级率42.85%；全市场超4100股上涨。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收盘口径B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连板网：89涨停、4跌停、11炸板、封板率89%；界面新闻口径为91涨停、4跌停。差异保留。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沪指+0.71%、深成指+1.26%、创业板指+1.96%、科创50+4.14%；两市成交约1.84万亿元，放量约2264亿元。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国芳集团、桂林旅游连续2日跌停；中新赛克、天融信跌停；龙版传媒跌逾9%、金健米业跌逾7%。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跌停已恢复个位数，但近期连续A杀未批量企稳反抽；9月14—15日连续≥10的强制空仓信号尚未满足解除条件。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CLOSED。主动新仓为0；所有空接、压突、超级先手、弱转强和分离信号仅作观察。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退潮期中的修复/下跌第三阶段反抽假设。广度大幅修复，但旧周期核心仍集中负反馈，尚不能确认新中周期起势。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冰点后强修复、高潮首日。涨停32→89、跌停27→4、封板率57.1%→89%，修复强度高。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主要指数全线上涨并放量，科创50领涨；与通信、芯片、算力方向共振。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连板晋级率42.85%，昨日涨停今中位+1.1%、翻红72%；但中新等旧高标仍跌停。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指数、广度与科技题材共振修复；旧周期高位A杀与新题材高潮明显背离。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闽东晋6板、澳弘4板、博汇20cm3板；通信20家、芯片13家涨停。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4只跌停集中在高位旧周期；闽东日内20次开板，换手剧烈；通信/福建梯队均有断层。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许可/置信度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CAUTION，中高置信度。只可维持或降低主体权限；P0 CLOSED决定主动新仓为0。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原节次/边界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E1第2—5、16—17、21、23—25节；阶段标签不是买卖信号，历史仓位比例不转为当日参数。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9月9日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百大集团5板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局部回升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9月10日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桂林旅游4板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5→4再压缩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9月11日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瑞尔特4板（一字特殊）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高度平移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有效梯队单票晋级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空间拓展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继续拓展并摸Y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闽东电力真实6连板；日内20次开板、收盘回封。公告风险与剧烈换手不改变客观Hmax。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有效空间主干由闽东拓展至H6；没有广义空接锚定梯队T+1全灭事件，不触发X下压。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C=clamp(X−3,3,5)=4；未触发两轮全淘汰或连续两次压在3板及以下的重置。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沿用最近验证天花板；闽东H=Y为摸顶。历史连续两条有效A/B来源链仍待完整恢复。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闽东6；澳弘4；博汇3；华瓷/锡华/北自/英联/中晶/西陇/德尔/通鼎等2；中新、双星断板。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强制标记：X≠C≠Y。C=4&lt;Hmax=6=Y；闽东今日只算摸天花板，不把收盘涨停倒推为压突买点。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沿用结果；源链待补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前排继续晋级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不构成A/B：无有效筛选梯队全灭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未形成新压制信号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闽东H6摸顶；中新失败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中新为起手一字特殊且非有效A/B梯队；不得纳入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Y维持6*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4 2026年9月17日第一次可操作或验证对象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结论：无新开仓候选。风险闸门CLOSED先行否决；9月16日收盘也没有产生“首次成为新空间或合格隐形空间且仍处第一次窗口”的对象。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9月17日价值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历史广义空接/空拐锚；T=9月11日，target为T+4；H6=Y6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摸顶后的持仓风控；若6进7仅进入压突突破候选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不追；CLOSED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看18.48元、均价、回封质量及福建/风电后排；低预期利用流动性退出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H4；通信/PCB带队；非首次新空间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4进5、通信梯队延续与带队次日验证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守44.33元与均价；带队独舞或后排退潮时减仓/退出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 688004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20cm H3；AI应用/视听安全高度；非首次新空间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3进4和双创赚钱效应验证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守32.86元与均价；公告风险、无跟风或剧震时风控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 003026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H2；芯片分支带队预选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2进3、芯片梯队延续验证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仅在已有持仓时观察同组分离、芯片首板联动与均价承接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逐票身份与数据卡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完整字段记录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绿色电力/风电/福建海西；H=6，Hmax=6，X=7，C=4，Y=6*。非一字、未停牌、非被动空间；异常波动与业务澄清风险保留。非首次新空间，H&gt;C，不通过当日广义空接新筛选。模式T=9月11日；9月16日为T+3，9月17日T+4；首次窗口结束。9月16日超级先手：否。触发仅用于持仓：站稳18.48、真实换手回封、福建/风电后排继续晋级。绝对禁止：CLOSED、剧震无回封、14:35后新开。失效：跌破18.48与均价无承接。无持仓不追；已有持仓按流动性处理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通信/PCB；H=4，Hmax=6，X=7，C=4，Y=6*。非一字、未停牌、非被动空间；异常波动公告风险。非首次新空间；H=C但不因通过高度即取得空接身份。9月16日分离双星并成为通信/PCB高度，9月17日为带队次日验证，非主体首次窗口。触发：4进5有效回封且通信H2/首板继续晋级；禁止：CLOSED、封单脆弱、后排批量炸板。失效：失守44.33与均价且无承接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 688004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题材：AI应用/视听大数据/股权优化；20cm H=3，Hmax=6，X=7，C=4，Y=6*。非一字、未停牌、非被动空间；公告称经营未变、上半年亏损扩大。非首次新空间，H≤C但无广义空接身份。9月16日晋H3，9月17日仅作带队/双创情绪验证。触发：3进4且出现严格同分支跟风；禁止：CLOSED、无跟风、20cm剧震或公告风险扩散。失效：失守32.86与均价无承接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 003026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半导体材料/芯片；H=2，Hmax=6，X=7，C=4，Y=6*。非一字、未停牌；未取得空间身份。9月16日为芯片分支最早有效H2，9月17日为2进3带队验证；首次主体窗口不存在。触发：同组第一只有效3板、芯片首板保持扩散；禁止：CLOSED、同组反卡或后排退潮。无持仓不买；已有持仓看均价与板块联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1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不是新先手</w:t>
            </w:r>
          </w:p>
        </w:tc>
        <w:tc>
          <w:tcPr>
            <w:tcW w:type="dxa" w:w="41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09:36回封6板，属于历史锚点T+3；日内20次开板且风险闸门关闭。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09:34封4板，上方闽东H6有效，不是独一份最高空间。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10:31封20cm H3，上方H6/H4有效；不满足唯一最高与老空间失效。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9月17日常规节点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无第一次常规介入对象</w:t>
            </w:r>
          </w:p>
        </w:tc>
        <w:tc>
          <w:tcPr>
            <w:tcW w:type="dxa" w:w="41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前排均已给过可成交换手机会或不具主体新T日；个人未买不能转为补救。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9月17日待触发超级先手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H2/H1梯队仅作观察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CLOSED时禁止</w:t>
            </w:r>
          </w:p>
        </w:tc>
        <w:tc>
          <w:tcPr>
            <w:tcW w:type="dxa" w:w="41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只有闸门先解除、老空间确认淘汰、同层唯一至强者在规定时段主动封板/回封且振幅合规，才重新核验。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6 T日有望成为预选池与逐票淘汰原因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历史空间锚；不列新广义空接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H&gt;C且并非首次成为空间；摸Y只产生压力验证，不恢复首次窗口。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H≤C但上方闽东H6仍有效；不是新空间或隐形空间。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 688004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20cm H3位于H6/H4之下；无新空间身份，板块联动仍待严格口径确认。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 003026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H≤C但位于完整上方梯队之下；只作芯片分支带队观察。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华瓷/锡华等H2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均非首次新空间；题材分散且上方空间主干有效。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公告空接预期证伪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第二次高位换手验证日快速跌停并收25.61元；连续两日有效换手条件失败。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无当日新T日候选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闽东为历史锚点；澳弘、博汇均未首次成为新空间或隐形空间。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当日为空间拓展而非新的压缩中继；身份、T日先手与T+1接力分开。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闽东历史属性继续强化；无新T日候选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压缩后从H3拓展至H6；仅作历史/持仓，不回补首次窗口。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中新赛克预期证伪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9月16日快速跌停，未完成连续第二个正式交易日有效换手。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闽东仍有效，无法证明上方为被动空间；至少断两层和下方隐形空间链不成立。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盘中没有“上方被动空间明显失效＋下方隐形空间唯一上位”的完整先手链。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闽东H6摸Y；无可执行突破候选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H=Y原则不做；9月17日若6进7仅成突破候选，CLOSED仍否决。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无新开仓补救候选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闽东进入T+4持龙阶段，但此前已提供正常成交；个人未买不构成补救。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沪指收盘+0.71%，未满足P0指数收盘≥1.2%的前置。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龙版传媒仅历史池，不可执行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9月16日跌逾9%，趋势与盘口未重建；空转趋不直接给买点。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中新/双星断板不能反向创造龙头首阴身份。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必须由9月17日竞价、量能、均价、回封和题材联动实时确认。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澳弘已分离双星；中晶/德尔待分离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分离只验证带队，不反向创造空接身份；风险关闭时不产生买点。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A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  <w:br/>
              <w:t>严格：福建海西</w:t>
              <w:br/>
              <w:t>宽：电力/风电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严格福建封板跟风5：合富中国、瑞达期货、平潭发展、漳州发展、福建金森，均首板。风电：锡华科技H2；吉鑫、天顺触板炸板。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福建H6+首板，缺H2—H5→不完整；风电H6+H2，缺H3—H5与首板确认→不完整。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闽东09:36回封H6后，平潭10:17、漳州10:30、福建金森10:32等扩散；财联社明确称其带动福建本地股。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主带队：闽东。辨识度最高；最早有效封板与合富同在09:36。日内20次开板，封单稳定性不足。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  <w:br/>
              <w:t>严格：PCB</w:t>
              <w:br/>
              <w:t>宽：通信/算力硬件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通信封板跟风19；重点：通鼎互联H2、中岩大地、中瓷电子、威尔高、光迅科技、星网锐捷、依顿电子等。严格PCB至少含中岩、威尔高、奥士康、依顿。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宽口径H4+H2+首板，缺H3→不完整；严格PCB H4+首板，缺H2/H3→不完整。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澳弘09:34封H4；中岩09:30早于澳弘，之后通信持续扩散至14:29。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主带队：澳弘。最高高度与辨识度一致；最早有效封板票为中岩。09:38公开封单约9654万元，全天稳定性待逐笔。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</w:t>
              <w:br/>
              <w:t>严格：视听安全/AI应用</w:t>
              <w:br/>
              <w:t>宽：AI/双创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严格同分支收盘涨停跟风证据不足；宽口径算力6家、双创多只20cm涨停，但不可混算。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严格H3独苗，首板/H2缺→不完整；宽口径题材交叉，待确认。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博汇10:31封20cm H3；财联社称其一定程度激发双创热情，但不能倒推为严格AI应用完整带队。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带队预选：博汇。最高与辨识度明确，严格跟风不足，写“本分支无已确认带队票”。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  <w:br/>
              <w:t>严格：半导体材料</w:t>
              <w:br/>
              <w:t>宽：国产芯片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芯片封板跟风12：德尔未来H2；露笑、盈方微、永鼎、有研新材、有研硅、可川、晶升、民德、宇环、立昂微等首板。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H2+首板，缺H3及以上→不完整。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中晶09:32封H2，是芯片分支最早高身位；德尔10:36H2，首板持续扩散。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主带队：中晶。最早有效封板、H2高度和辨识度较一致；封单稳定性待确认。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4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福建海西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闽东H6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闽东/合富09:36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待确认；闽东20次开板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闽东确认；H6+首板，不完整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严格跟风5；9月17日验证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通信/PCB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澳弘H4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中岩09:30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澳弘09:38封单约9654万；全天待核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澳弘确认；缺H3，不完整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通信跟风19；严格PCB至少4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国产芯片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中晶/德尔H2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中晶09:32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中晶确认；H2+首板，不完整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封板跟风12；9月17日验证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AI应用/视听安全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博汇20cm H3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博汇10:31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预选；严格梯队不完整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严格跟风不足；不硬选确认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算力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均H1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电光科技10:01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电光科技预选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仅首板，不完整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封板跟风5；次日验证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9月16日真实表现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收18.48元涨停，09:36封板，盘中20次打开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风电仅锡华晋H2、吉鑫/天顺炸；福建海西新增5只首板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继续涨停→带队有效；风电延续不足，领导力转向福建题材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9月17日若独自晋7而福建首板全退，改判个股抱团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09:35前后快速跌停，收25.61元、-9.98%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启明-5.1%，天融信跌停；博汇独立晋H3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带队证伪，AI安全情绪转弱；公告空接预期失败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移出新开仓与公告空接池，仅作风险样本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收44.33元涨停，09:34封H4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通信20家涨停、通鼎H2，后排全天扩散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继续涨停→带队有效、情绪延续；梯队仍缺H3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9月17日核4进5与H2/首板晋级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双星新材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收12.17元、+0.91%，断板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华瓷晋H2、华锋首板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原MLCC带队预选未延续；元器件观察转向华瓷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双星移入历史/持仓；不把板块上涨倒推为继续带队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固定映射：继续涨停→带队有效、情绪延续；高开低走→带队失败、情绪转弱；低开闷杀→带队证伪、可能退潮。未完全匹配时如实描述，不强套。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先核旧高标是否批量企稳、跌停是否继续个位数；再看闽东摸Y后的竞价、澳弘/博汇/中晶封单与后排。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CLOSED或关键项未知：主动新仓保持0；高开与封单不作最终买点。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记录闽东能否站稳18.48并回封；澳弘4进5、博汇3进4、中晶/德尔2进3谁先有效确认。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闽东核按钮、旧周期A杀扩散或带队票独强后排走弱：只做持仓风控。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核均价承接、真实回封、通信H2晋级、福建首板晋级及芯片新首板扩散。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只有带队票涨停而跟风退潮：标“个股抱团/板块延续不足”，不追。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只有风险闸门先解除，才核超级先手：唯一最高、老空间失效、振幅合规、主动封板/回封。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缺任一条件，或并列未分离、分时剧震、板块无联动：放弃。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任何14:35后才首次出现的封板，不计超级先手买点。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超预期/修复延续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跌停继续个位数且旧周期A杀批量企稳；闽东6进7站稳Y上方；澳弘/博汇后排同步晋级。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只有闸门重新评估为OPEN且主体首次窗口独立成立，才重新核验；本报告无盘前买单。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守均价、回封和板块联动；不在直线加速末端加仓。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符合预期/高潮分化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指数与题材分化；闽东围绕Y换手；通信/芯片仍有H2和首板晋级，但后排减少。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继续观察，不把突破Y、分离或带队确认等同买点。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持强汰弱；带队票独舞时降低为个股抱团。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低预期/退潮再现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跌停重新≥10或旧高标A杀扩散；闽东低开无承接；澳弘/博汇集体失败；通信后排批量炸板。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维持空仓，放弃全部候选。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低预期或失效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有效换手回封7板并站稳Y=6上方，福建至少一只首板晋H2且有新增首板。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围绕18.48和均价换手，承接稳定但后排分化。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失守18.48与均价后无承接，或福建/风电后排全退潮。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4进5主动回封，通信H2至少一只晋H3，且首板继续扩散。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围绕44.33换手封板但后排分化；仍属带队验证。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失守44.33与均价、反复炸板无回封，或通信后排批量回落。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20cm 3进4且出现严格AI应用/视听安全跟风，公告风险被市场有效承接。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高位换手后维持强势，但严格分支跟风仍不足。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失守32.86与均价、20cm剧震或单票独舞。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2进3率先有效封板，德尔或芯片首板继续晋级/扩散。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围绕前收换手，芯片板块分化但未退潮。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同组被反卡、封板无回封或芯片首板批量走弱。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广义空接/潜在空拐历史锚；T=9月11日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9月16日T+3晋H6；target 9月17日T+4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首次窗口结束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H=Y摸顶；6进7仅列压突候选，CLOSED时仍不买。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通信/PCB带队预选日9月15日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9月16日H4并完成同身位分离；9月17日带队验证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看通信H2与首板晋级，带队独舞则降级。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AI应用/视听安全带队预选日9月16日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9月16日20cm H3；9月17日验证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公告提示业绩背离；严格分支跟风不足时不确认主带队。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公告空接观察日9月15日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9月16日跌停，预期证伪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失效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第二次有效换手未完成；移出候选，只留风险样本。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双星新材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MLCC带队预选日9月15日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9月16日断板+0.91%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移入历史/持仓；元器件转看华瓷带队验证。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龙版传媒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空转趋历史池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9月16日跌逾9%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不可买/失效观察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趋势与盘口重建前不列操作候选。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T+2/T+3/T+4：本期无符合条件的新开仓补救候选。个人未执行不构成补救；同题材后排不得冒充分支龙头。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竞价封单/撤单、逐笔、实际开板次数、回封量、分时均价和全天封单稳定性：待盘中确认；公开报道中的时点只作事实线索。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连板网为89涨停/4跌停，界面新闻为91涨停/4跌停；统计口径不同，报告同时保留。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X=7为已维护账本值；有效主干由闽东拓展至H6，9月16日没有T+1锚定梯队全灭事件。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Y=6沿用最近验证值；历史两个连续有效A/B来源链未完整恢复，不能用Hmax=6倒推重算。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跌停虽降至4只，但旧周期高标未批量企稳；风险闸门解除需下一正式交易日继续验证。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通信宽口径H4/H2/首板但缺H3；福建海西H6/首板但缺H2—H5，均不得称完整梯队。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博汇公告称主营未变且上半年亏损扩大；其严格AI应用/视听安全跟风不足，不硬确认带队。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E1部分图位与第12、13节正文缺失；情绪阶段只作辅助约束，不创造身份、买点、窗口或仓位。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主要公开数据来源 复核时间 2026年9月16日17时27分 北京时间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89涨停、12连板、晋级率、高位负反馈和主流题材：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89涨停、4跌停、11炸板、封板时间、连板梯队与题材分支：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连板网收盘天梯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91涨停、4跌停及核心连板：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界面新闻涨跌停统计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指数、成交额、上涨家数与科技主线：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A股收评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收盘价18.48、09:36封板、20次开板与收盘封单：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闽东电力涨停数据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收盘44.33、开盘、振幅、换手及涨停价：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澳弘电子行情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收盘32.86、20cm涨停、换手与成交额：</w:t>
      </w:r>
      <w:hyperlink r:id="rId16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博汇科技龙虎榜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经营未变、业绩背离与高换手风险：</w:t>
      </w:r>
      <w:hyperlink r:id="rId17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博汇科技异常波动公告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收盘25.61、跌幅、成交及换手：</w:t>
      </w:r>
      <w:hyperlink r:id="rId18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中新赛克龙虎榜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口径纪律：严格H只计连续涨停，N+反包不累计；同题材跟风按“封住涨停/触板炸板/明显跟涨未板”分层。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2026年9月17日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finance.eastmoney.com/a/202609163876038290.html" TargetMode="External"/><Relationship Id="rId11" Type="http://schemas.openxmlformats.org/officeDocument/2006/relationships/hyperlink" Target="https://lianban.net/days/2026-09-16.html" TargetMode="External"/><Relationship Id="rId12" Type="http://schemas.openxmlformats.org/officeDocument/2006/relationships/hyperlink" Target="https://finance.eastmoney.com/a/202609163876011247.html" TargetMode="External"/><Relationship Id="rId13" Type="http://schemas.openxmlformats.org/officeDocument/2006/relationships/hyperlink" Target="https://finance.eastmoney.com/a/202609163876015768.html" TargetMode="External"/><Relationship Id="rId14" Type="http://schemas.openxmlformats.org/officeDocument/2006/relationships/hyperlink" Target="https://stock.stockstar.com/RB2026091600025990.shtml" TargetMode="External"/><Relationship Id="rId15" Type="http://schemas.openxmlformats.org/officeDocument/2006/relationships/hyperlink" Target="https://money.finance.sina.com.cn/corp/go.php/vCB_AllNewsStock/symbol/sh605058.phtml" TargetMode="External"/><Relationship Id="rId16" Type="http://schemas.openxmlformats.org/officeDocument/2006/relationships/hyperlink" Target="https://finance.eastmoney.com/a/202609163876091813.html" TargetMode="External"/><Relationship Id="rId17" Type="http://schemas.openxmlformats.org/officeDocument/2006/relationships/hyperlink" Target="https://epaper.cs.com.cn/zgzqb/html/2026-09/16/nw.D110000zgzqb_20260916_5-B046.htm" TargetMode="External"/><Relationship Id="rId18" Type="http://schemas.openxmlformats.org/officeDocument/2006/relationships/hyperlink" Target="https://data.eastmoney.com/stock/lhb/002912.html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2026年9月17日 A股模式股盘前操作策略</dc:title>
  <dc:subject>基于2026年9月16日收盘的私有体系盘前执行报告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