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Noto Sans CJK SC" w:hAnsi="Noto Sans CJK SC" w:eastAsia="Noto Sans CJK SC"/>
          <w:b/>
          <w:color w:val="111111"/>
          <w:sz w:val="42"/>
        </w:rPr>
        <w:t>2026年9月18日 A股模式股盘前操作策略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color w:val="5B6573"/>
          <w:sz w:val="21"/>
        </w:rPr>
        <w:t>基于2026年9月17日完整收盘</w:t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9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analysis_date：2026-09-17 17:28（北京时间）</w:t>
              <w:br/>
              <w:t>latest_market_date：2026-09-17</w:t>
              <w:br/>
              <w:t>target_trade_date：2026-09-18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9月17日已完整收盘；9月18日为下一正式交易日。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P0风险结论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9月14—15日连续≥10只非ST跌停触发的强制空仓仍未解除。17日跌停降至1—2只，但桂林、中新、瑞尔特等高位负反馈仍在，尚不足以确认连续A杀批量企稳。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CAUTION｜置信度：中高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中周期：退潮期修复未确认；小周期：9月16日强修复后首次分化。涨停89→47/49、封板率降至70.1%，旧高标有反抽也有续跌。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主体候选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无明日第一次新开仓候选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澳弘首次成为客观新空间但H5&gt;C4；9月18日若晋H6等于Y6，仍是摸顶且风险闸门关闭。H3三票不具新空间/隐形空间资格。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买点条件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仅观察与持仓管理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任何身份均被CLOSED否决；不把澳弘5板、中晶/华瓷/锡华3板或题材带队确认直接写成买点。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P0仓位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主动新仓=0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母规则强制空仓。已有持仓按前收、均价、回封质量和后排联动条件化处理。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Hmax=5｜X=7｜C=4｜Y=6*</w:t>
              <w:br/>
              <w:t>H：澳弘5；中晶/华瓷/锡华3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X≠C≠Y。X沿用有效空间账本；Y沿用最近验证值，来源链仍待完整恢复。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主流分支/带队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机器人：科森科技预选</w:t>
              <w:br/>
              <w:t>农业：万向德农</w:t>
              <w:br/>
              <w:t>芯片：中晶科技</w:t>
              <w:br/>
              <w:t>PCB：澳弘电子（个股强、板块弱）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机器人6家、农业4家、芯片3家；严格梯队均非首板/2板/3板齐全。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最终执行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无新开仓候选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9月18日重点验证澳弘摸Y、H3三票分离、机器人/农业/芯片后排联动；14:35后不新增。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总原则：先风险、再情绪、后身份与买点。跌停减少只满足解除条件的一部分，不能单独解除强制空仓。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仅用于整理用户私有交易理论，不构成投资建议。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2 日期 风险总闸门与情绪环境辅助判断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2026年9月17日为正式交易日，17:00后收盘数据可核；9月18日不在交易所休市区间，为下一正式交易日。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收盘口径A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连板网：47涨停、1跌停、9连板、20炸板、封板率70.1%，最高5板；情绪标记为退潮期。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收盘口径B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21经济网：49涨停、2跌停；财联社：47涨停、9连板、3板及以上4只。口径差异保留，不择有利口径。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指数与量能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沪指-0.41%、深成指-0.33%、创业板指-0.40%、科创50-0.61%；两市成交约1.82万亿元，较前日缩量约1600亿元。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高位反馈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闽东电力近跌停开后反核，收-2.76%；金健米业反包涨停、国芳集团+0.21%；但桂林旅游、中新赛克、瑞尔特跌逾8%，旧周期未批量稳定。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强制空仓阈值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非ST跌停已连续两日回到个位数，但“近期连续A杀标的批量企稳反抽”证据仍不足，故不解除9月14—15日触发的强制空仓。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CLOSED。主动新仓为0；所有空接、压突、超级先手、弱转强和分离信号仅作观察或持仓管理。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阶段假设与证据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退潮期中的修复尚未确认反转。旧周期部分反核，但高位负反馈仍分散存在。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小周期阶段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9月16日冰点后强修复，9月17日进入首次分化/分歧日。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指数状态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主要指数普跌、成交缩量；与涨停家数锐减、炸板率上升同向。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短线赚钱效应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昨涨停今均值+0.1%、中位-1.0%、红盘40%；连板9只，晋级率约33.33%。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共振/背离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指数、广度与封板率共振转弱；澳弘、中晶等高标继续晋级与板块整体降温背离。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支持证据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跌停仅1—2只；闽东反核、金健反包；机器人、农业仍形成多股涨停。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主要反证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涨停大幅回落、20只炸板、封板率70.1%；桂林/中新/瑞尔特继续大跌；新低165只高于新高98只。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许可/置信度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CAUTION，中高置信度。只能收缩或维持权限；P0 CLOSED决定主动新仓为0。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原节次/边界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E1第2—5、16—17、21、23—25节。情绪阶段不创造身份、买点、窗口或仓位。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2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3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38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9月11日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瑞尔特4板（一字特殊）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高度平移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9月14日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有效梯队单票晋级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9月15日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空间拓展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闽东电力6板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摸Y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老空间断板，新空间H5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15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76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计算与边界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澳弘电子真实5连板；闽东断板后H归零/断板，N+不累计。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7（账本值）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闽东失败不是已确认广义空接锚定梯队T+1全灭；无规定事件支持X下压，故沿用7。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C=clamp(X−3,3,5)=4；未触发两轮锚定梯队T+1全灭或空间连续两次压在3板及以下重置。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6*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沿用最近验证值；最近两个连续有效A/B来源链仍待完整恢复，禁止用Hmax重算。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逐票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澳弘5；中晶/华瓷/锡华3；内蒙新华/世联行/中岩大地/共达电声/万向德农2；闽东断板。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强制标记：X≠C≠Y。澳弘H5&gt;C4，不取得广义空接筛选资格；若9月18日晋H6，则H=Y为摸顶，原则不做。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Y压制信号来源账本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16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失败高度</w:t>
            </w:r>
          </w:p>
        </w:tc>
        <w:tc>
          <w:tcPr>
            <w:tcW w:type="dxa" w:w="27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连续性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最近已验证两条A/B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最高6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沿用Y=6；源链待补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不新增推断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中新等失败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不纳入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起手一字特殊或无有效A/B梯队身份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非有效压制信号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闽东断板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H6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任意高板失败不等于A/B；不得纳入Y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Y维持6*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4 2026年9月18日第一次可操作或验证对象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结论：无新开仓候选。风险闸门CLOSED先行否决；同时澳弘H&gt;C，H3三票并非首次新空间或合格隐形空间。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时间/身份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9月18日价值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 605058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9月17日首次成为客观新空间；H5&gt;C4；非广义空接T日资格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5进6摸Y、PCB带队次日验证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不追、不低吸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守48.76与均价；有效回封且后排联动才继续持有，独舞/失守则风控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 003026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H3；芯片分支带队；非新空间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3进4与芯片后排验证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守37.00与均价；同身位被反卡或芯片无联动则降级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 001216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H3；电子元件/陶瓷；非新空间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3进4同身位分离验证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守19.88与均价；严格分支无跟风时按个股行情处理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 603248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H3；风电；14:02封板、换手33.89%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3进4同身位分离与风电联动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不买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守22.34与均价；高振幅、尾盘封板或吉鑫不联动时风控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逐票身份与数据卡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完整字段记录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 605058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题材PCB；H5，Hmax5，X7，C4，Y6*。非公告起手一字、未停牌、非被动空间；9月17日首次成为客观新空间，但H&gt;C，不通过广义空接筛选。模式T日：仅记录空间首次日9月17日，不确认空接身份；target 9月18日为新空间次日/带队验证，主体首次窗口无效。9月17日超级先手：否，CLOSED且H&gt;C。触发仅用于持仓：主动回封、振幅合规、PCB后排晋级。绝对禁止：CLOSED、H=Y摸顶追板、封单脆弱、后排退潮。失效：失守48.76与均价无承接。数据缺口：实时撤单/回封量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 003026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半导体硅片；H3，Hmax5，X7，C4，Y6*。09:25一字封住，起手连续一字/不可成交需特殊处理；非新空间或隐形空间，不因H≤C取得空接身份。9月17日为芯片带队验证日；9月18日为3进4延续验证，主体首次窗口不存在。触发仅用于持仓：开板有效换手后回封、芯片首板/H2联动。禁止：CLOSED、纯一字不可成交、同组反卡。失效：失守37.00与均价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 001216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电阻电容/陶瓷；H3，Hmax5，X7，C4，Y6*。09:30封板，非停牌；非新空间或隐形空间。模式身份仅为同身位/带队观察，9月18日3进4验证。严格分支仅有ST四通首板，非ST跟风不足；不反向创造主体身份。禁止：CLOSED、无严格跟风、同组反卡。失效：失守19.88与均价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 603248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风电；H3，Hmax5，X7，C4，Y6*。14:02封板，振幅15.66%、换手33.89%；非新空间或隐形空间。9月18日为3进4分离验证，首次主体窗口不存在。触发仅用于持仓：吉鑫等后排同步、有效换手回封。禁止：CLOSED、剧震无回封、尾盘被动封板、14:35后新开。失效：失守22.34与均价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5 今天盘中超级先手结果与明天常规节点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09:31封H5并成为唯一最高，但盘中使用前一收盘C=4，H5&gt;C4；风险闸门CLOSED，否决。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中晶/华瓷/锡华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H3并列，未分离为独一份最高；上方澳弘H5有效。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9月17日已结束空接断板龙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闽东失效后澳弘上位，但两者仅6→5一层差，且澳弘H&gt;C，不满足完整结构。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9月18日常规节点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无第一次常规介入对象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澳弘不通过C；其余并非新空间/隐形空间。个人未买不能转为T+2补救。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9月18日待触发超级先手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H3/H2梯队仅作观察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CLOSED时禁止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只有闸门先解除、老空间确认淘汰、同层唯一至强者在13:30—14:35主动封板/回封且振幅合规，才重新核验。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6 T日有望成为预选池与逐票淘汰原因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9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预选结论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 605058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客观新空间；不列广义空接预选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H&gt;C；核心排除为高度上限与CLOSED。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 003026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H≤C但上方澳弘H5有效；起手一字且非首次新空间/隐形空间。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 001216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H≤C但上方空间有效；严格分支非ST跟风不足。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 603248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H≤C但上方空间有效；尾盘封板、高换手高振幅，需次日承接。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H2五票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不是首次新空间/隐形空间；只保留题材带队与同身位分离观察。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 000993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历史/持仓管理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上方身份失效不自动给下方创造断板龙；H归零/断板。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7 广义空接 断板龙 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2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广义/狭义空接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无当日新T日候选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澳弘客观新空间但H5&gt;C4；H3三票不是新空间/隐形空间。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空中飘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身份预期、T日超级先手与T+1常规接力分开；本日结构不足。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控怪龙/空拐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无新T日候选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6→5不满足可直接编码的重点压缩结构；不以次日上涨倒推。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起手一字票中晶仍需连续两个正式交易日有效高位换手；9月17日一字不等于有效换手。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闽东H6断板、澳弘H5上位，仅一层差；不满足至少断两层与下方隐形空间链。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空接断板龙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未形成完整“上方被动空间失效＋下方隐形空间逐级上位”先手结构。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澳弘H5&lt;Y6，屋顶下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9月18日5进6为摸顶，原则不做；6进7才是突破候选，尚未发生。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T+2/T+3/T+4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无新开仓补救候选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前排已有正常成交换手机会；个人未买不构成补救。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负阴抱阳龙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指数未满足P0前置，不从个股反包倒推。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闽东/龙版仅历史跟踪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空转趋只解决跟踪对象，不直接给买点。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龙头首阴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无盘前确认候选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闽东断板但身份/买点工具须分层，CLOSED仍否决。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4K/6K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需回查原文/体系依据不足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量价、时点与失效参数不得臆造。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经典弱转强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无盘前确认候选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必须由9月18日竞价、量能、均价、回封和题材联动实时确认。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分离确认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H3三票待分离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同组第一只有效涨停才可确认；分离不创造空接身份，CLOSED时不产生买点。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8 板块梯队 主流分支与带队票验证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A 核心观察对象板块验证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候选/口径</w:t>
            </w:r>
          </w:p>
        </w:tc>
        <w:tc>
          <w:tcPr>
            <w:tcW w:type="dxa" w:w="32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跟风数量与名单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梯队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带动/分支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  <w:br/>
              <w:t>严格：PCB</w:t>
              <w:br/>
              <w:t>宽：通信硬件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严格封板跟风：中岩大地H2；宽口径通信还含世嘉科技H1、共达电声H2。PCB其他前日强票超声-3.58%、华正跌逾9%。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严格H5+H2，首板/H3/H4缺→不完整；宽口径H5+H2+H1，H3/H4缺→不完整。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澳弘09:31封H5，但PCB后排没有同步强化，反而明显分化。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最高与辨识度：澳弘；最早有效封板为澳弘。个股强、板块延续不足，不确认完整板块带队。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</w:t>
              <w:br/>
              <w:t>严格：半导体硅片</w:t>
              <w:br/>
              <w:t>宽：芯片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严格仅中晶；宽口径封板2个跟风：先导基电H1、沃顿科技H1。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H3+首板，缺H2→不完整。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中晶09:25一字H3；沃顿09:40、先导13:13封板，时间链与可成交带动关系不足。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高度/辨识度：中晶；一字特殊，带队确认需9月18日换手与后排晋级。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  <w:br/>
              <w:t>严格：电阻电容</w:t>
              <w:br/>
              <w:t>宽：陶瓷/家居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严格非ST封板跟风不足；宽口径仅*ST四通首板，需剔除特殊票。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H3独苗，首板/H2缺→不完整。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华瓷09:30封H3，未见非ST严格分支扩散。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本分支无已确认带队票；华瓷仅高度/辨识度预选。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  <w:br/>
              <w:t>严格/宽：风电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封板跟风1：吉鑫科技3天2板（严格H1/N+，14:00）；其他跟涨未板不混算。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H3+N+首板，H2缺→不完整。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吉鑫14:00、锡华14:02先后封板，尾盘联动但不足以证明锡华主动带动。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主带队待确认；高度票锡华、最早有效封板吉鑫。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r>
        <w:br w:type="page"/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129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最高高度</w:t>
            </w:r>
          </w:p>
        </w:tc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最早有效封板</w:t>
            </w:r>
          </w:p>
        </w:tc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封单最稳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辨识度最高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主带队/梯队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跟风/次日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机器人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科森4天2板（严格H1）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科森09:39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科森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预选；仅首板/N+，不完整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封板6家；9月18日验证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农业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万向H2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金健10:17（首板）；万向13:02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万向/金健分指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万向暂定；H2+首板，缺H3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封板4家；9月18日验证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中晶H3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中晶09:25一字；可成交沃顿09:40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中晶一字特殊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预选；H3+首板，缺H2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封板3家；换手待验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新能源汽车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均为H1/N+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安凯09:47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众泰8天5板（N+不累计）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主带队待确认；仅首板，不完整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宽口径6家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烟草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均H1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新宏泽09:47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新宏泽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预选；仅首板，不完整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封板3家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医药/CRO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均H1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金石亚药09:33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金石亚药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预选；仅首板，不完整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封板3家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C 前一交易日带队或预选票次日表现账本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09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9月17日真实表现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后排同步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映射结论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近跌停开，收17.97元、-2.76%，未继续涨停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福建首板未形成持续晋级；金健等农业独立修复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低开后反核，不等于低开闷杀；原带队失败、旧周期局部企稳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移入历史/持仓，观察反核能否延续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09:31封5板，收48.76元涨停；振幅8.48%、换手15.81%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PCB前日强票超声、华正走弱；中岩H2延续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继续涨停但跟风退潮→个股抱团/板块延续不足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9月18日5进6摸Y，仅持仓验证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博汇科技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未进入9月17日涨停/连板梯队，次日强度未延续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AI安全分支无完整接力，机器人/农业转强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带队预选失败，情绪转弱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移出首页，仅历史观察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09:25一字3板，收37.00元涨停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芯片仅先导、沃顿首板；缺H2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继续涨停→个股带队有效，但梯队不完整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9月18日换手与H2补位验证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固定映射：继续涨停→带队有效、情绪延续；高开低走→带队失败、情绪转弱；低开闷杀→带队证伪、可能退潮。若后排不跟，改记“个股抱团/板块延续不足”。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9 核心候选竞价与盘中执行卡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不出现或负面信号怎么做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09:15—09:25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先核非ST跌停、旧A杀批量企稳与闸门；再看澳弘摸Y竞价、中晶一字是否开板换手、H3三票封单。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CLOSED或关键项未知：主动新仓保持0；封单、高开不作买点。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记录澳弘能否站稳48.76；中晶/华瓷/锡华谁先有效分离；核机器人、农业、芯片后排。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澳弘独强而PCB继续退潮，或H3并列反复互卡：只做持仓风控。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核均价承接、真实回封、农业H2晋级、机器人首板晋级与芯片是否补出H2。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只有带队票涨停、后排不晋级：标“个股抱团/板块延续不足”，不追。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只有风险闸门先解除，才核超级先手：唯一最高、老空间失效、振幅合规、主动封板/回封。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缺任一条件、并列未分离、分时剧震或板块无联动：放弃。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只处理已有持仓风险，不新增。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任何14:35后才首次出现的封板，不计超级先手买点。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10 超预期 符合预期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46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超预期/修复确认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跌停继续个位数且旧A杀批量企稳；澳弘5进6稳封、H3三票至少一只晋4；主流分支后排同步。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仍需风险闸门正式解除并由主体规则产生新的首次窗口；本报告无盘前买单。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守前收、均价、回封和板块联动；不在加速末端加仓。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符合预期/分化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澳弘围绕Y换手；H3梯队分离但后排减少；机器人/农业/芯片轮动。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继续观察，不把摸Y、分离或带队确认等同买点。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持强汰弱；带队独舞时降级为个股抱团。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低预期/退潮延续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跌停重新≥10或旧高标A杀扩散；澳弘断板无承接；H3集体失败；主流首板批量炸板。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维持空仓，放弃全部候选。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优先利用流动性减仓/退出，不等待尾盘修复。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逐票客观观察条件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6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低预期或失效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有效换手回封6板，PCB至少中岩晋H3并有新增首板。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围绕48.76与均价换手，个股强但PCB仍分化。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失守48.76与均价无承接，或PCB后排继续批量回落。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一字开板后有效换手回封4板，芯片补出H2并有新增首板。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继续封板但仍缺H2，定性个股带队而非完整梯队。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开板无回封、同组反卡或芯片首板集体走弱。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3进4且出现非ST严格同分支跟风。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个股换手走强但严格分支仍无联动。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失守19.88与均价、反复炸板无回封。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3进4主动回封，吉鑫等风电后排同步。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高位换手但后排分化。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失守22.34与均价，尾盘被动封板或风电无联动。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模式与T日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空间首次日9月17日；不确认广义空接T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9月18日新空间次日/带队验证；H5&lt;Y6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主体首次窗口无效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H&gt;C；5进6摸Y，CLOSED时不买。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中晶科技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芯片带队预选日9月16日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9月17日一字H3；9月18日带队次日验证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看有效换手、芯片H2补位与首板晋级。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电子元件带队预选日9月17日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9月18日H3同身位分离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严格分支无非ST跟风则不确认带队。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风电带队预选日9月17日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9月18日H3同身位分离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尾盘封板、高振幅；只做承接与后排验证。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历史广义空接/潜在空拐锚；T=9月11日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9月17日断板；target为历史/持仓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首次窗口结束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反核不恢复窗口；断板后只按空转趋/首阴工具等待。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博汇科技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AI应用带队预选日9月16日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9月17日未续板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预选失败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移出首页与新开仓池。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龙版传媒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空转趋历史池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9月17日14:46反包首板，严格H=1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非首次主体窗口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N+不累计；只作趋势/题材带队验证。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T+2/T+3/T+4：本期无符合条件的新开仓补救候选。个人未执行不构成补救；同题材后排不得冒充分支龙头。</w:t>
      </w:r>
    </w:p>
    <w:p>
      <w:r>
        <w:br w:type="page"/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12 受控未知项 数据来源与风险提示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竞价封单/撤单、逐笔、实际开板次数、回封量、分时均价和全天封单稳定性：待盘中确认；收盘数据不能倒推盘中买点。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连板网为47涨停/1跌停，21经济网为49涨停/2跌停；统计口径不同，报告同时保留。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X=7为已维护账本值；9月17日没有规定的T+1锚定梯队全灭或连续两轮重置事件。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Y=6沿用最近验证值；历史两个连续有效A/B来源链未完整恢复，不能用闽东失败或Hmax=5重算。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跌停已回到个位数，但桂林、中新、瑞尔特等高位负反馈仍在；是否“批量企稳反抽”需9月18日继续核验。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中晶09:25一字封板，实际撤单、开板和可成交性待核；不能把一字等同有效换手。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机器人、农业、芯片、PCB梯队均不同时具备严格首板/2板/3板；不得笼统写完整梯队。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4K/6K量价、时点和失效参数：需回查原文/体系依据不足，不从历史案例补造。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E1部分图位与第12、13节正文缺失；情绪阶段只作辅助约束，不创造身份、买点、窗口或仓位。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主要公开数据来源 复核时间 2026年9月17日17时28分 北京时间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交易日与9月休市核验：</w:t>
      </w:r>
      <w:hyperlink r:id="rId9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上交所2026年休市安排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47涨停、9连板、晋级率、高位负反馈与题材分化：</w:t>
      </w:r>
      <w:hyperlink r:id="rId10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财联社连板复盘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47涨停、1跌停、20炸板、封板时间、连板梯队与主线：</w:t>
      </w:r>
      <w:hyperlink r:id="rId11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连板网收盘天梯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涨跌停、连板、最高板与情绪期统计：</w:t>
      </w:r>
      <w:hyperlink r:id="rId12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连板网开放数据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49涨停、2跌停、分板高度及题材数量：</w:t>
      </w:r>
      <w:hyperlink r:id="rId13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21经济网涨跌停分析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指数、成交额、涨跌家数与盘面主线：</w:t>
      </w:r>
      <w:hyperlink r:id="rId14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A股收评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主要指数与成交量交叉核验：</w:t>
      </w:r>
      <w:hyperlink r:id="rId15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新浪收评</w:t>
        </w:r>
      </w:hyperlink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口径纪律：严格H只计连续涨停，N+反包不累计；同题材跟风按“收盘封住/触板炸板/明显跟涨未板”分层，ST特殊票不混入常规资格。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风险提示：仅用于整理用户私有交易理论，不构成投资建议，不承诺收益。高位股票可能快速跌停、无法成交或停牌；所有动作以实时风险闸门和客观触发为前提。</w:t>
      </w:r>
    </w:p>
    <w:sectPr w:rsidR="00FC693F" w:rsidRPr="0006063C" w:rsidSect="00034616">
      <w:footerReference w:type="default" r:id="rId16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5"/>
      </w:rPr>
      <w:t xml:space="preserve">2026年9月18日 A股模式股盘前操作策略｜第 </w:t>
    </w:r>
    <w:fldSimple w:instr="PAGE"/>
    <w:r>
      <w:rPr>
        <w:rFonts w:ascii="Noto Sans CJK SC" w:hAnsi="Noto Sans CJK SC" w:eastAsia="Noto Sans CJK SC"/>
        <w:b w:val="0"/>
        <w:color w:val="5B6573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announcement/general/c/c_20251222_10802507.shtml" TargetMode="External"/><Relationship Id="rId10" Type="http://schemas.openxmlformats.org/officeDocument/2006/relationships/hyperlink" Target="https://finance.eastmoney.com/a/202609173877316787.html" TargetMode="External"/><Relationship Id="rId11" Type="http://schemas.openxmlformats.org/officeDocument/2006/relationships/hyperlink" Target="https://lianban.net/days/2026-09-17.html" TargetMode="External"/><Relationship Id="rId12" Type="http://schemas.openxmlformats.org/officeDocument/2006/relationships/hyperlink" Target="https://lianban.net/opendata/2026-09-17.json" TargetMode="External"/><Relationship Id="rId13" Type="http://schemas.openxmlformats.org/officeDocument/2006/relationships/hyperlink" Target="https://www.21jingji.com/article/20260917/herald/2d86899b58dc791af4d2e18709715e4d.html" TargetMode="External"/><Relationship Id="rId14" Type="http://schemas.openxmlformats.org/officeDocument/2006/relationships/hyperlink" Target="https://finance.eastmoney.com/a/202609173877332846.html" TargetMode="External"/><Relationship Id="rId15" Type="http://schemas.openxmlformats.org/officeDocument/2006/relationships/hyperlink" Target="https://finance.sina.com.cn/tob/2026-09-17/doc-iniscksf0335551.s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2026年9月18日 A股模式股盘前操作策略</dc:title>
  <dc:subject>基于2026年9月17日完整收盘的私有体系盘前执行报告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