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Noto Sans CJK SC" w:hAnsi="Noto Sans CJK SC" w:eastAsia="Noto Sans CJK SC"/>
          <w:b/>
          <w:color w:val="111111"/>
          <w:sz w:val="42"/>
        </w:rPr>
        <w:t>2026年9月21日 A股模式股盘前操作策略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color w:val="5B6573"/>
          <w:sz w:val="21"/>
        </w:rPr>
        <w:t>基于2026年9月18日完整收盘</w:t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9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analysis_date：2026-09-18 17:30（北京时间）</w:t>
              <w:br/>
              <w:t>latest_market_date：2026-09-18</w:t>
              <w:br/>
              <w:t>target_trade_date：2026-09-21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9月18日已完整收盘；周末休市，9月21日为下一正式交易日。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TIGHT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非ST跌停已连续三日回到个位数，18日为0；国芳、金健涨停，桂林、中新、瑞尔特反抽，强制空仓解除条件已具备。但旧最高澳弘断板、次新情绪接近高潮，保留单项预警。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SUPPORT｜置信度：中高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中周期：退潮后的修复确认；小周期：分歧后再升温。指数放量普涨、78只非ST涨停、0只非ST跌停，但高度由5压至4且题材轮动快。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华瓷股份、锡华科技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9月18日共同首次成为4板新空间，H4=C4；均为第二次连续压缩下“有望成为狭义空接龙＋控怪龙/空拐”，9月21日为T+1首次验证窗。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只做分离后的唯一最强者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TIGHT下不得同时做两只。须竞价不低预期、有效换手或主动回封、同组分离、板块后排联动；一字不可成交、并列不分离、剧震无回封均禁止。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缩减候选与仓位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P0未编码TIGHT的具体百分比；不得自创数值。仅在完整条件成立时调用P0“只做最强且证据完整者”。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Hmax=4｜X=7｜C=4｜Y=6*</w:t>
              <w:br/>
              <w:t>H：华瓷4；锡华4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X≠C≠Y。X沿用有效空间账本；Y沿用最近验证值，来源链仍待完整恢复。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次新：锡华科技（沈鼓为情绪催化）</w:t>
              <w:br/>
              <w:t>芯片：华软科技</w:t>
              <w:br/>
              <w:t>地产：世联行</w:t>
              <w:br/>
              <w:t>机器人：科森科技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次新8家、芯片11家、地产链5家、机器人4家；严格梯队均缺至少一个身位，不能笼统称完整。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存在第一次条件化验证对象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优先等待华瓷与锡华分离；无唯一胜出、风险回落或板块不联动则不执行。身份不是买入指令。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总原则：先风险、再情绪、后身份与买点。TIGHT只允许最强且证据完整者；两个并列候选未分离时不执行。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仅用于整理用户私有交易理论，不构成投资建议。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2026年9月18日为正式交易日，17:30后收盘数据可核；9月19—20日周末休市，9月21日为下一正式交易日。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收盘口径A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连板网：78涨停、0跌停（非ST）、12连板、25炸板、封板率75.7%，最高4板；情绪标记为升温期。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收盘口径B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央广：79涨停、1跌停；新浪收评：80涨停、1跌停。差异主要来自ST及样本统计，全部保留。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指数与量能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沪指+0.94%、深成指+1.72%、创业板指+2.25%、科创50+2.88%；两市成交约2.08—2.09万亿元，超4200股上涨。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高位反馈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澳弘5板后收-0.94%，中晶3板后收+0.54%，均为冲高回落；但无核按钮扩散。国芳、金健涨停，桂林+4.89%、中新约+4.9%、瑞尔特反弹，近期A杀出现批量企稳。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强制空仓阈值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9月16—18日非ST跌停均回到个位数，18日为0；近期A杀标的出现多只反抽，满足“恢复个位数＋批量企稳反抽后评估解除”的必要证据。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TIGHT。解除强制空仓，但高度降至4板、次新高潮与热点快轮动构成单项预警；缩减候选和仓位，只做唯一最强且证据完整者。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阶段假设与证据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退潮后的修复得到价格广度与高位负反馈改善共同确认，但尚未证明已进入持续主升。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9月16日强修复、17日首次分歧、18日分歧后再升温；次新局部接近情绪高潮。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指数状态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主要指数中阳、成交重回2万亿元上方，4234股上涨，与涨停扩张共振。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短线赚钱效应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78只非ST涨停、12连板、0只非ST跌停，3板及以上4只；连板晋级率约44.44%。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指数、广度、涨停和跌停口径共振修复；但Hmax由5降至4，高度与广度形成背离。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非ST零跌停；A杀标的批量反抽；次新、芯片、地产、机器人形成多股涨停。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主要反证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25只炸板；热点轮动快；澳弘、中晶冲高回落；次新含无涨跌幅限制新品种，高潮不可机械等同重仓。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2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3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38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9月14日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有效梯队单票晋级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9月15日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空间拓展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闽东电力6板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摸Y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第一次连续压缩，H&gt;C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第二次连续压缩，并列锚定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6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计算与边界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华瓷股份、锡华科技真实4连板；澳弘断板后H归零/断板，N+不累计。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7（账本值）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澳弘H5&gt;C4，未取得广义空接锚定资格；其失败不是规定的合格锚定梯队T+1全灭，故X沿用7。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C=clamp(X−3,3,5)=4；未触发两轮锚定梯队T+1全灭或空间连续两次压在3板及以下重置。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6*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沿用最近验证值；最近两个连续有效A/B来源链仍待完整恢复，禁止用Hmax重算。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华瓷/锡华4；内蒙新华/世联行3；华软/华纺/经纬/龙头/南华/科森/新宏泽/金健2；澳弘、中晶断板。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强制标记：X≠C≠Y。华瓷、锡华H4=C4，只取得广义空接筛选资格；H4&lt;Y6为屋顶下，身份仍须T+1分离、盘口与题材联动确认。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16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7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最近已验证两条A/B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最高6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沿用Y=6；源链待补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不新增推断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闽东断板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H6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任意高板失败不等于A/B；不得纳入Y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非有效压制信号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澳弘断板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H5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澳弘前一日H&gt;C、无有效广义空接锚定身份；不得纳入A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Y维持6*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4 2026年9月21日第一次可操作或验证对象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结论：存在两只第一次条件化验证对象，但只能等待分离后的唯一最强者。TIGHT不允许并列试错；若竞价、回封、板块或风险任一不完整，则无新开仓。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时间/身份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9月18日价值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模式T=9月18日；有望成为狭义空接龙＋控怪龙/空拐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9月21日T+1首次验证；须与锡华有效分离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不预埋；只在唯一胜出、有效回封与后排联动同时成立后按P0缩减档执行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守21.87与分时均价；无严格分支联动或被锡华反卡则降级/退出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 603248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模式T=9月18日；有望成为狭义空接龙＋控怪龙/空拐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9月21日T+1首次验证；次新带队同时验证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不预埋；只在唯一胜出、有效回封与次新后排同步时按P0缩减档执行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守24.57与分时均价；次新退潮、剧震不回封或被华瓷反卡则降级/退出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逐票身份与数据卡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完整字段记录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题材电阻电容/氧化锆，宽口径电子材料；H4，Hmax4，X7，C4，Y6*。非起手一字、未停牌、非被动空间；9月18日首次成为并列新空间，通过C。身份预期：有望成为狭义空接龙＋控怪龙/空拐；不贴空中飘。模式T=9月18日，latest为T日，target 9月21日为T+1，首次窗口有效。9月18日超级先手：否，两票并列最高未分离。触发：竞价不低预期、主动换手回封、先于锡华完成有效分离，严格/宽口径后排同步。禁止：TIGHT下并列试错、一字不可成交、独舞、反复炸板。失效：跌破21.87与分时均价且无承接、被锡华反卡。数据缺口：实时封单/撤单/回封量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 603248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题材次新＋风电部件，宽口径次新股；H4，Hmax4，X7，C4，Y6*。非起手一字、未停牌、非被动空间；9月18日首次成为并列新空间，通过C。身份预期：有望成为狭义空接龙＋控怪龙/空拐；不贴空中飘。模式T=9月18日，latest为T日，target 9月21日为T+1，首次窗口有效。9月18日超级先手：否，两票并列最高未分离。触发：竞价不低预期、有效换手或主动回封、先于华瓷完成分离、次新后排同步。禁止：次新高潮退潮、剧震无回封、沈鼓等情绪载体大幅负反馈、并列不分离。失效：跌破24.57与均价无承接、被华瓷反卡。数据缺口：实时封单稳定性与新品种联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5 今天盘中超级先手结果与明天常规节点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两票09:30均封H4，全天并列最高，未形成独一份最高空间；不得事后倒推先手。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9月18日已结束空接断板龙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澳弘H5失效后下方H4上位仅一层差，不满足至少断两层与逐级隐形空间结构。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9月21日常规节点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T+1第一次条件化验证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只保留先完成有效分离且板块联动更完整的一只；另一只自动转为观察/淘汰。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9月21日待触发超级先手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H3/H2梯队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盘中待确认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若H4梯队确认淘汰，13:30—14:35出现同层唯一最高、主动封板/回封、振幅合规者，再按上个收盘C=4核验。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6 T日有望成为预选池与逐票淘汰原因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预选结论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有望成为狭义空接龙＋控怪龙/空拐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首次成为并列新空间；第二次连续压缩；通过C。严格分支联动不足，需T+1确认。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 603248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有望成为狭义空接龙＋控怪龙/空拐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首次成为并列新空间；第二次连续压缩；通过C；次新带动较强但高潮风险需核。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 603230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上方H4有效；09:25一字、文化传媒梯队缺H2，非首次新空间。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 002285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上方H4有效；地产链H3+H1缺H2，非首次新空间。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H2八票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不是首次新空间/隐形空间；只保留题材带队、同身位分离和后续观察。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澳弘/中晶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历史/带队次日账本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断板H归零；不因曾是高标恢复首次窗口。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7 广义空接 断板龙 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华瓷、锡华T日预选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二者H4=C4并列首次新空间；T日只写“有望成为”，T+1以分离和题材确认。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本日不贴该属性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从6板以下的首次连续压缩且独苗更符合空中飘；本日为第二次连续压缩且双锚。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华瓷、锡华有望成为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6→5为第一次连续压缩，5→4为第二次；多个并列锚优于独苗，但不单独确认。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起手一字票中晶仍需连续两个正式交易日有效高位换手；9月17日一字不等于有效换手。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闽东H6断板、澳弘H5上位，仅一层差；不满足至少断两层与下方隐形空间链。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未形成完整“上方被动空间失效＋下方隐形空间逐级上位”先手结构。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华瓷/锡华H4&lt;Y6，屋顶下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9月21日若晋H5仍低于Y；压突不产生买点。H=Y才是摸顶且原则不做。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暂不启用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先完成9月21日T+1验证；个人未执行不能事后转为T+2补救。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负阴抱阳龙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指数未满足P0前置，不从个股反包倒推。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澳弘等仅历史跟踪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空转趋只解决跟踪对象，不直接给买点；前置身份不足者不得冒充。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龙头首阴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澳弘/中晶高开低走不自动生成首阴买点；须上游身份与工具条件完整。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经典弱转强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华瓷/锡华仅可盘中验证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必须由9月21日竞价、量能、均价、回封和题材联动实时确认；不反向创造身份。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分离确认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H4两票待分离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同组第一只有效涨停、回封稳定与板块联动共同确认；TIGHT下只保留一只。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8 板块梯队 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A 核心观察对象板块验证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梯队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带动/分支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  <w:br/>
              <w:t>严格：电阻电容/氧化锆</w:t>
              <w:br/>
              <w:t>宽：电子材料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严格封板跟风0。宽口径交叉概念封板10只：华软002453 H2；肯特603120、诚邦603316、博通603068、华天002185、盛景微603375、柏诚601133、和远002971、魅视001229、中旗001212 H1。触板炸板/仅跟涨名单：公开数据不足，不混算。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严格仅H4，首板/H2/H3缺→不完整；宽口径H4+H2+H1，缺H3→不完整。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华瓷09:30封H4；同日芯片扩散强，但概念交叉且时间因果不足，不能倒推由华瓷带动。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高度/辨识度华瓷；严格分支无已确认带队票，T+1须补出真实联动。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  <w:br/>
              <w:t>严格：风电部件</w:t>
              <w:br/>
              <w:t>宽：次新股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严格风电封板跟风0；宽口径次新封板7只：海安001233、陕西旅游603402、马矿601123、道生天合601026、惠科001399、托伦斯301583、电科思仪301689。触板炸板/仅跟涨：数据不足，不混算。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宽口径H4+首板，缺H2/H3→不完整；严格风电仅H4。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锡华09:30封H4，海安09:32起多只次新封板；沈鼓无涨跌幅限制大涨为情绪催化。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最早有效封板/高度/辨识度均指向锡华；确认次新主带队，但梯队仍不完整。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2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最高高度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封单最稳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主带队/梯队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跟风/次日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次新股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锡华H4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锡华09:30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锡华；实时封单变化待核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锡华；H4+首板，缺H2/H3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封板8家；9月21日验证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华软H2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华软09:25一字；可成交肯特09:38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华软一字特殊，盘中稳定待核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华软预选；H2+首板，缺H3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封板11家；换手待验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地产链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世联行H3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世联行09:35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世联行；H3+首板，缺H2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封板5家；9月21日验证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机器人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科森H2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科森09:31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科森；H2+首板，缺H3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封板4家；后排同步待验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服装家纺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华纺H2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华纺09:25一字；可成交奥康09:53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华纺一字特殊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华纺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预选；H2+首板，缺H3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封板3家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文化传媒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内蒙新华H3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内蒙新华09:25一字；可成交新华文轩10:56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内蒙新华一字特殊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预选；H3+首板，缺H2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封板2家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C 前一交易日带队或预选票次日表现账本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0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9月18日真实表现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高开49.72，冲高50.58后收48.30、-0.94%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PCB仅天津普林首板；中国巨石-4.52%，后排分化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高开低走→带队失败、情绪转弱；转历史/持仓管理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不恢复首次窗口，观察PCB换领导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竞价一度涨停，收37.20、+0.54%，换手39.65%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芯片11只涨停，强度转由华软等承接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高开低走→原带队失败；板块未退潮而是带队转移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移出空接池，记录芯片新带队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09:30封4板，收21.87涨停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严格电阻电容跟风不足；宽口径芯片活跃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继续涨停但严格后排不足→个股抱团/分支延续不足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9月21日T+1分离验证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09:30封4板，收24.57涨停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次新7只封板；沈鼓大涨为情绪催化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继续涨停且后排强化→带队有效、情绪延续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9月21日T+1分离与高潮承接验证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科森科技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09:31封板，严格H2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祥鑫、天安、精达首板跟随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继续涨停且后排扩散→机器人带队有效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观察后排能否从首板晋级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固定映射：继续涨停→带队有效、情绪延续；高开低走→带队失败、情绪转弱；低开闷杀→带队证伪、可能退潮。若后排不跟，改记“个股抱团/板块延续不足”。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9 核心候选竞价与盘中执行卡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不出现或负面信号怎么做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先核非ST跌停、旧A杀是否继续企稳与TIGHT是否恶化；再比华瓷、锡华竞价强弱及其后排封单。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闸门转CLOSED/UNKNOWN、两票一字不可成交或封单同时快速撤退：主动新仓为0。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观察谁先完成有效换手/回封并成为唯一最高；同步看次新、电子材料后排是否强化。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两票并列互卡、仅冲高未封、后排反向走弱：不执行；已有持仓先做风控。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确认均价承接、封板稳定与梯队晋级；唯一胜出且证据完整者才保留。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带队票独舞、炸板无回封或对手反卡：取消新开仓资格。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若H4梯队已淘汰，可按上个收盘C=4核验下方新超级先手：唯一最高、主动封板/回封、振幅合规。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缺任一条件、老空间仍强、同层未分离或分时剧震：放弃。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只处理已有持仓风险，不新增。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任何14:35后才首次出现的封板，不计超级先手买点。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10 超预期 符合预期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46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超预期/修复延续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非ST跌停维持个位数；华瓷或锡华唯一晋5并主动回封；所属分支后排晋级、对手有承接而非核杀。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只核验唯一胜出者，按P0缩减候选与仓位；不预埋、不同时做两只。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守前收、均价、回封和板块联动；不在加速末端追加。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符合预期/良性分化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一只晋级、一只温和断板；次新/芯片/地产/机器人轮动，跌停不扩散。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若证据链不完整则观察；分离本身不是买点。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持强汰弱；带队独舞时降级为个股抱团。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低预期/退潮再现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跌停重新扩散；华瓷、锡华双双低开闷杀或炸板无回封；次新与高位后排批量走弱。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放弃全部候选，闸门转CLOSED时主动新仓为0。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优先利用流动性减仓/退出，不等待尾盘修复。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6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低预期或失效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4进5主动回封，先于锡华分离，严格/宽口径后排同步。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围绕21.87与均价换手，个股强但严格分支仍弱。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失守21.87与均价、反复炸板无回封或被锡华反卡。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4进5主动回封，先于华瓷分离，次新后排继续晋级。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围绕24.57与均价换手，次新分化但无核按钮。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失守24.57与均价、沈鼓/次新后排批量负反馈或被华瓷反卡。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华软/世联/科森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各自高度晋级且首板后排同步晋级。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带队股强但梯队仍断层。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带队断板、后排批量炸板；仅作为情绪证据，不创造买点。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模式与T日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9月18日T日；9月21日T+1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首次窗口有效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与锡华分离后，只有唯一最强且后排联动者保留。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9月18日T日；9月21日T+1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首次窗口有效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次新主带队；须防高潮转分歧与新品种负反馈。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空间首次日9月17日；H&gt;C未获广义空接T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9月18日断板；target为历史/持仓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主体首次窗口无效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高开低走，PCB带队失败；不恢复首次窗口。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芯片带队预选日9月16日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9月18日高开低走；带队转移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只记录换手与趋势，不因芯片走强恢复身份。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芯片带队预选T=9月18日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9月21日H2→H3带队验证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09:25一字特殊；开板换手与后排晋级待核。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地产带队预选T=9月18日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9月21日H3→H4验证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梯队缺H2；只作板块情绪证据。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机器人带队预选T=9月18日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9月21日H2→H3验证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后排首板能否晋级决定板块延续。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T+2/T+3/T+4：先完成9月21日T+1验证。只有T+1客观无成交机会或主仓已在空接龙等P0前提满足，后续才讨论T+2；个人未执行不构成补救。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12 受控未知项 数据来源与风险提示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竞价封单/撤单、逐笔、实际开板次数、回封量、分时均价和全天封单稳定性：待盘中确认；收盘数据不能倒推盘中买点。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连板网为78涨停/0跌停（非ST），央广为79涨停/1跌停，新浪为80涨停/1跌停；统计口径不同，报告同时保留。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X=7为已维护账本值；澳弘H&gt;C且其失败不构成合格广义空接锚定梯队T+1全灭，故不下压X。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Y=6沿用最近验证值；历史两个连续有效A/B来源链未完整恢复，不能用澳弘失败或Hmax=4重算。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华瓷与锡华9月21日竞价、封单、有效换手、回封稳定性和同身位分离均待盘中确认。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锡华的次新后排含无涨跌幅限制新品种；沈鼓大涨是情绪催化，不计入严格涨停梯队。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次新、芯片、地产、机器人均不同时具备严格首板/2板/3板；不得笼统写完整梯队。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4K/6K量价、时点和失效参数：需回查原文/体系依据不足，不从历史案例补造。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情绪许可SUPPORT，中高置信度；依据E1第2—5、16—17、21、23—25节。E1部分图位与第12、13节正文缺失；情绪只作辅助约束，不创造身份、买点、窗口或仓位。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主要公开数据来源 复核时间 2026年9月18日17时30分 北京时间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交易日与9月休市核验：</w:t>
      </w:r>
      <w:hyperlink r:id="rId9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上交所2026年休市安排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78涨停、12连板、晋级率与题材梯队：</w:t>
      </w:r>
      <w:hyperlink r:id="rId10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财联社连板复盘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78涨停、0跌停、25炸板、封板时间、连板梯队与主线：</w:t>
      </w:r>
      <w:hyperlink r:id="rId11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连板网收盘天梯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涨跌停、连板、最高板与情绪期统计：</w:t>
      </w:r>
      <w:hyperlink r:id="rId12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连板网开放数据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79涨停、1跌停的全市场口径：</w:t>
      </w:r>
      <w:hyperlink r:id="rId13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央广涨跌停盘点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指数、成交额、涨跌家数与次新/地产/芯片主线：</w:t>
      </w:r>
      <w:hyperlink r:id="rId14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央广收盘综述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非ST零跌停、放量与市场修复证据：</w:t>
      </w:r>
      <w:hyperlink r:id="rId15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0跌停复盘</w:t>
        </w:r>
      </w:hyperlink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口径纪律：严格H只计连续涨停，N+反包不累计；同题材跟风按“收盘封住/触板炸板/明显跟涨未板”分层，ST特殊票不混入常规资格。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风险提示：仅用于整理用户私有交易理论，不构成投资建议，不承诺收益。高位股票可能快速跌停、无法成交或停牌；所有动作以实时风险闸门和客观触发为前提。</w:t>
      </w:r>
    </w:p>
    <w:sectPr w:rsidR="00FC693F" w:rsidRPr="0006063C" w:rsidSect="00034616">
      <w:footerReference w:type="default" r:id="rId16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5"/>
      </w:rPr>
      <w:t xml:space="preserve">2026年9月21日 A股模式股盘前操作策略｜第 </w:t>
    </w:r>
    <w:fldSimple w:instr="PAGE"/>
    <w:r>
      <w:rPr>
        <w:rFonts w:ascii="Noto Sans CJK SC" w:hAnsi="Noto Sans CJK SC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51222_10802507.shtml" TargetMode="External"/><Relationship Id="rId10" Type="http://schemas.openxmlformats.org/officeDocument/2006/relationships/hyperlink" Target="https://finance.eastmoney.com/a/202609183878612068.html" TargetMode="External"/><Relationship Id="rId11" Type="http://schemas.openxmlformats.org/officeDocument/2006/relationships/hyperlink" Target="https://lianban.net/days/2026-09-18.html" TargetMode="External"/><Relationship Id="rId12" Type="http://schemas.openxmlformats.org/officeDocument/2006/relationships/hyperlink" Target="https://lianban.net/opendata/2026-09-18.json" TargetMode="External"/><Relationship Id="rId13" Type="http://schemas.openxmlformats.org/officeDocument/2006/relationships/hyperlink" Target="https://finance.cnr.cn/ycbd/20260918/t20260918_527817627.shtml" TargetMode="External"/><Relationship Id="rId14" Type="http://schemas.openxmlformats.org/officeDocument/2006/relationships/hyperlink" Target="https://news.qq.com/rain/a/20260918A074ZI00" TargetMode="External"/><Relationship Id="rId15" Type="http://schemas.openxmlformats.org/officeDocument/2006/relationships/hyperlink" Target="https://finance.sina.com.cn/roll/2026-09-18/doc-inisftxc0229909.s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2026年9月21日 A股模式股盘前操作策略</dc:title>
  <dc:subject>基于2026年9月18日完整收盘的私有体系盘前执行报告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