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rPr>
          <w:rFonts w:ascii="Noto Sans CJK SC" w:hAnsi="Noto Sans CJK SC" w:eastAsia="Noto Sans CJK SC"/>
          <w:b/>
          <w:color w:val="111111"/>
          <w:sz w:val="42"/>
        </w:rPr>
        <w:t>2026年9月22日 A股模式股盘前操作策略</w:t>
      </w:r>
    </w:p>
    <w:p>
      <w:pPr>
        <w:spacing w:after="140"/>
        <w:jc w:val="center"/>
      </w:pPr>
      <w:r>
        <w:rPr>
          <w:rFonts w:ascii="Noto Sans CJK SC" w:hAnsi="Noto Sans CJK SC" w:eastAsia="Noto Sans CJK SC"/>
          <w:b w:val="0"/>
          <w:color w:val="5B6573"/>
          <w:sz w:val="21"/>
        </w:rPr>
        <w:t>基于2026年9月21日完整收盘</w:t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 首页执行结论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9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执行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日期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analysis_date：2026-09-21 17:27（北京时间）</w:t>
              <w:br/>
              <w:t>latest_market_date：2026-09-21</w:t>
              <w:br/>
              <w:t>target_trade_date：2026-09-22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9月21日已完整收盘；9月22日为下一正式交易日。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P0风险结论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TIGHT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非ST严格跌停2只，连续维持个位数，未触发强制空仓；但安德利由PCB热门股直接跌停、华瓷一字加速且“华字辈”扩散，保留高位与高潮单项预警。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CAUTION｜置信度：中高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中周期：修复延续；小周期：高潮扩散。指数普涨、超4500股上涨、103股涨停、连板晋级率66.67%，但题材玄学化、25股炸板且局部A杀仍在。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主体候选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无常规新开仓候选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华瓷9月21日完成T+1并进入T+2历史/持仓管理；锡华T+1高开低走证伪。9月21日未形成符合P0的首次常规介入对象。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买点条件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常规新开仓：不执行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内蒙新华、世联行仅列9月22日盘中“待触发超级先手观察”，须华瓷明确失效、二者唯一分离、主动封板/回封、时间与振幅合规、板块同步。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P0仓位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无常规新开仓仓位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CAUTION只能收缩权限；P0未编码额外百分比，不自创数值。若超级先手条件不完整，主动新仓为0。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五变量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Hmax=5｜X=7｜C=4｜Y=6*</w:t>
              <w:br/>
              <w:t>H：华瓷5；内蒙新华/世联行4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X≠C≠Y。华瓷H5&gt;C4；Y沿用最近验证值，来源链仍待完整恢复。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主流分支/带队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华字辈：华瓷股份</w:t>
              <w:br/>
              <w:t>医药：南华生物</w:t>
              <w:br/>
              <w:t>地产：世联行</w:t>
              <w:br/>
              <w:t>大消费：带队待确认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医药和宽口径大消费具备首板/2板/3板；地产、PCB、机器人梯队仍有断层。</w:t>
            </w:r>
          </w:p>
        </w:tc>
      </w:tr>
      <w:tr>
        <w:trPr>
          <w:cantSplit/>
        </w:trPr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最终执行</w:t>
            </w:r>
          </w:p>
        </w:tc>
        <w:tc>
          <w:tcPr>
            <w:tcW w:type="dxa" w:w="39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无第一次常规对象；仅盘中条件观察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不得把华瓷T+2或H4梯队观察写成明日常规买点。任何身份均须先通过TIGHT与CAUTION。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总原则：先风险、再情绪、后身份与买点。首页只保留第一次窗口；本日无常规新开仓候选。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仅用于整理用户私有交易理论，不构成投资建议。</w:t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2 日期 风险总闸门与情绪环境辅助判断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9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交易日核验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2026年9月21日为正式交易日，17:27后收盘数据可核；9月22日为下一正式交易日。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收盘口径A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财联社：103股涨停、21只连板、25股封板未遂、封板率80%（不含ST和退市）。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收盘口径B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芦苇复盘：严格跌停2只（安德利、地铁设计），另有无涨跌幅限制新股C沈鼓-34.7%；非ST强制阈值按严格跌停2只处理。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指数与量能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沪指约+0.97%报3949.91点，深成指+0.65%，创业板指+0.80%；成交约2.05万亿元，较前日缩量约448亿元，超4500股上涨。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高位反馈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华瓷H4→H5一字晋级；锡华高开后收-1.30%，T+1失败。安德利由PCB强势股跌停，说明热门题材仍存在单点A杀。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强制空仓阈值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9月18日严格跌停0只、9月21日2只，连续低于10只；强制空仓未触发。近期A杀修复未被全面破坏，但需继续核验批量企稳。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闸门结论</w:t>
            </w:r>
          </w:p>
        </w:tc>
        <w:tc>
          <w:tcPr>
            <w:tcW w:type="dxa" w:w="79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7"/>
              </w:rPr>
              <w:t>TIGHT。广度与连板晋级很强，但一字加速、玄学扩散和PCB单点核按钮构成单项预警；只保留条件观察，不提高权限。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情绪环境辅助判断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阶段假设与证据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中周期阶段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退潮后的修复延续，但尚未证明已转为稳定主升。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小周期阶段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修复后的高潮扩散：连板晋级率、涨停数和上涨家数同步放大，“华字辈”成为情绪化扩散载体。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指数状态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主要指数普涨但成交较前日缩量；指数与短线情绪同向，量能未同步放大。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短线赚钱效应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103股涨停、21只连板、66.67%连板晋级率、严格跌停2只；短线赚钱效应强。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共振/背离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指数与涨停广度共振；缩量、25股炸板、锡华T+1失败及安德利跌停构成局部背离。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支持证据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华瓷5板、内蒙新华/世联行4板；医药20家、地产9家、大消费9家涨停。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主要反证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华瓷一字不可成交；“华字辈”玄学扩散；PCB热门股安德利跌停；高潮阶段不能机械等同重仓。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情绪许可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CAUTION：提高确认要求、收缩到唯一强者；不创造仓位百分比，不解除P0限制。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3 五变量与空间主干账本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cantSplit/>
        </w:trPr>
        <w:tc>
          <w:tcPr>
            <w:tcW w:type="dxa" w:w="122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7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Hmax</w:t>
            </w:r>
          </w:p>
        </w:tc>
        <w:tc>
          <w:tcPr>
            <w:tcW w:type="dxa" w:w="33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最高严格连板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X</w:t>
            </w:r>
          </w:p>
        </w:tc>
        <w:tc>
          <w:tcPr>
            <w:tcW w:type="dxa" w:w="64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</w:t>
            </w:r>
          </w:p>
        </w:tc>
        <w:tc>
          <w:tcPr>
            <w:tcW w:type="dxa" w:w="38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9月15日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空间拓展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9月16日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闽东电力6板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摸Y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澳弘电子5板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第一次连续压缩，H&gt;C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华瓷/锡华4板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第二次连续压缩，并列锚定</w:t>
            </w:r>
          </w:p>
        </w:tc>
      </w:tr>
      <w:tr>
        <w:trPr>
          <w:cantSplit/>
        </w:trPr>
        <w:tc>
          <w:tcPr>
            <w:tcW w:type="dxa" w:w="122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</w:t>
            </w:r>
          </w:p>
        </w:tc>
        <w:tc>
          <w:tcPr>
            <w:tcW w:type="dxa" w:w="7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33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华瓷股份5板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</w:t>
            </w:r>
          </w:p>
        </w:tc>
        <w:tc>
          <w:tcPr>
            <w:tcW w:type="dxa" w:w="64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38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T+1分离成功；锡华断板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15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值</w:t>
            </w:r>
          </w:p>
        </w:tc>
        <w:tc>
          <w:tcPr>
            <w:tcW w:type="dxa" w:w="76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计算与边界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Hmax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华瓷股份真实5连板；锡华9月21日未涨停，H归零/断板。N+反包不累计。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X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7（账本值）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9月18日有效H4锚定梯队在T+1并未全部淘汰：华瓷晋级、锡华失败；不触发X下压。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C=clamp(X−3,3,5)=4；未触发两轮锚定梯队T+1全灭或空间连续两次压在3板及以下重置。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6*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沿用最近验证值；最近两个连续有效A/B来源链仍待完整恢复，禁止用Hmax重算。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</w:t>
            </w:r>
          </w:p>
        </w:tc>
        <w:tc>
          <w:tcPr>
            <w:tcW w:type="dxa" w:w="115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逐票</w:t>
            </w:r>
          </w:p>
        </w:tc>
        <w:tc>
          <w:tcPr>
            <w:tcW w:type="dxa" w:w="76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华瓷5；内蒙新华/世联行4；南华生物/华软科技/金健米业/龙头股份/华纺股份3；13只H2；锡华断板。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强制标记：X≠C≠Y。华瓷H5&gt;C4且H5&lt;Y6，为屋顶下的既有T+2对象；不得因晋级恢复首次窗口。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Y压制信号来源账本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316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失败高度</w:t>
            </w:r>
          </w:p>
        </w:tc>
        <w:tc>
          <w:tcPr>
            <w:tcW w:type="dxa" w:w="27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有效性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连续性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历史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最近已验证两条A/B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最高6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沿用Y=6；源链待补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不新增推断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9月17日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闽东断板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H6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任意高板失败不等于A/B；不得纳入Y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非有效压制信号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澳弘断板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H5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澳弘前一日H&gt;C、无有效广义空接锚定身份；不得纳入A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非有效信号</w:t>
            </w:r>
          </w:p>
        </w:tc>
      </w:tr>
      <w:tr>
        <w:trPr>
          <w:cantSplit/>
        </w:trPr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</w:t>
            </w:r>
          </w:p>
        </w:tc>
        <w:tc>
          <w:tcPr>
            <w:tcW w:type="dxa" w:w="316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9月18日H4锚定梯队T+1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</w:t>
            </w:r>
          </w:p>
        </w:tc>
        <w:tc>
          <w:tcPr>
            <w:tcW w:type="dxa" w:w="27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华瓷晋级，锡华失败；未全部晋级失败，不构成A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Y维持6*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4 2026年9月22日第一次可操作或验证对象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9"/>
        </w:rPr>
        <w:t>结论：无第一次常规新开仓候选。华瓷的首次T+1窗口已在9月21日结束；锡华被证伪。只保留盘中待触发超级先手观察，不在开盘前赋予买点。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59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时间/身份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9月22日价值</w:t>
            </w:r>
          </w:p>
        </w:tc>
        <w:tc>
          <w:tcPr>
            <w:tcW w:type="dxa" w:w="14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无常规对象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主体规则未形成新T日锚定对象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首页不提供常规新开仓候选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保持空仓观察；不得把历史对象或盘中条件预案当成盘前买入指令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按各自持仓管理卡处理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内蒙新华/世联行</w:t>
            </w:r>
          </w:p>
        </w:tc>
        <w:tc>
          <w:tcPr>
            <w:tcW w:type="dxa" w:w="259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9月21日H4；非新空间T日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仅作9月22日盘中超级先手条件观察</w:t>
            </w:r>
          </w:p>
        </w:tc>
        <w:tc>
          <w:tcPr>
            <w:tcW w:type="dxa" w:w="14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仅在华瓷明确失效、二者唯一分离且13:30—14:35主动封板/回封并通过风险、振幅、板块联动时再核验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已有持仓可按均价、前收、回封稳定性和板块后排管理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逐票身份与数据卡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81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完整字段记录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严格题材MLCC/氧化锆，宽口径电子材料与“华字辈”；H5，Hmax5，X7，C4，Y6*。9月21日一字涨停，未停牌、非公告起手票、非被动空间。模式T=9月18日，latest为T+1，target 9月22日为T+2，首次窗口已结束。身份预期在T+1经同组分离强化，但一字不可成交，不作为明日新开仓。H5&gt;C4且H5&lt;Y6。禁止：把一字晋级倒推为可成交买点；把“华字辈”高潮当成加仓理由。失效/管理：开板后无法回封、跌破前收24.06与均价且后排走弱。数据缺口：竞价撤单、开板成交、回封量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 603230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题材出版传媒，宽口径“华字辈”与文化消费；H4，Hmax5，X7，C4，Y6*。非首次新空间，未取得9月21日广义空接T日身份；target只列盘中超级先手观察。成立前提：华瓷明确失效、与世联行唯一分离、主动封板/回封、板块后排同步、13:30—14:35且10cm振幅≤9.99个百分点。禁止：开盘抢跑、并列未分离、老空间仍强、14:35后新增。数据缺口：实时盘口与回封稳定性。</w:t>
            </w:r>
          </w:p>
        </w:tc>
      </w:tr>
      <w:tr>
        <w:trPr>
          <w:cantSplit/>
        </w:trPr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 002285</w:t>
            </w:r>
          </w:p>
        </w:tc>
        <w:tc>
          <w:tcPr>
            <w:tcW w:type="dxa" w:w="81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题材房地产服务，宽口径地产链；H4，Hmax5，X7，C4，Y6*。非首次新空间；9月21日13:17回封并带动地产链，但target只列盘中超级先手观察。成立前提同上，且地产H2与首板后排继续联动。禁止：华瓷仍强、与内蒙新华并列互卡、地产后排退潮、剧震无回封。数据缺口：竞价封单、撤单、逐笔与回封量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5 今天盘中超级先手结果与明天常规节点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池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依据/动作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9月21日已结束超级先手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不可作为复盘买点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华瓷09:25一字H5，盘中不可成交；虽完成同组分离，也不能倒推为可执行超级先手。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9月21日已结束空接断板龙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未成立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上方华瓷未失效，下方H4双票未唯一；结构不成立。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9月22日常规节点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无第一次常规介入对象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华瓷进入T+2，锡华已证伪；不把错过或不可成交转写为补救。</w:t>
            </w:r>
          </w:p>
        </w:tc>
      </w:tr>
      <w:tr>
        <w:trPr>
          <w:cantSplit/>
        </w:trPr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9月22日待触发超级先手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内蒙新华/世联行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盘中待确认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只在华瓷明显失效后，13:30—14:35同层唯一最高、主动封板/回封、振幅合规且板块联动时核验；使用9月21日收盘C=4快照。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6 T日有望成为预选池与逐票淘汰原因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</w:t>
            </w:r>
          </w:p>
        </w:tc>
        <w:tc>
          <w:tcPr>
            <w:tcW w:type="dxa" w:w="93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H/C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预选结论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通过/淘汰原因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 001216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5/4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非新T日；T+2历史/持仓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9月18日已是T日，9月21日完成T+1；H&gt;C，首次窗口结束。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 603230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不列常规广义空接T日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上方华瓷H5有效，且与世联行并列H4；不是首次新空间/隐形空间。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 002285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不列常规广义空接T日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上方华瓷H5有效，且与内蒙新华并列H4；不是首次新空间/隐形空间。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H3五票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3/4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上方H5/H4有效；仅记录医药、芯片、消费带队与同身位竞争。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H2十三票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2/4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均不列新广义空接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不是首次新空间/隐形空间；公告票百通能源另作特殊标记。</w:t>
            </w:r>
          </w:p>
        </w:tc>
      </w:tr>
      <w:tr>
        <w:trPr>
          <w:cantSplit/>
        </w:trPr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 603248</w:t>
            </w:r>
          </w:p>
        </w:tc>
        <w:tc>
          <w:tcPr>
            <w:tcW w:type="dxa" w:w="93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T+1证伪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高开后收-1.30%，H归零；不恢复首次窗口。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7 广义空接 断板龙 压突及全部模式扫描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52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依据/边界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广义/狭义空接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无新T日对象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华瓷为既有T+1强化并进入T+2；内蒙新华/世联行不是首次新空间。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空中飘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无新身份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身份、T日先手和T+1接力分开；不得用华瓷一字或H4双票倒推。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控怪龙/空拐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无新T日对象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华瓷既有预期在T+1强化；target只作持仓管理，不恢复首次窗口。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公告空接龙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起手一字票中晶仍需连续两个正式交易日有效高位换手；9月17日一字不等于有效换手。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华瓷H5之下为H4双票，仅一层差；不满足至少断两层与下方隐形空间代表性。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空接断板龙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上方华瓷未失效、下方H4未唯一，结构不成立。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压突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华瓷H5&lt;Y6，屋顶下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H4双票亦低于Y；压突不产生买点。H=Y才是摸顶且原则不做。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T+2/T+3/T+4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华瓷进入T+2历史/持仓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9月21日一字客观无成交机会不自动产生T+2补救；须满足P0全部前提且不同题材分支龙头才可讨论。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负阴抱阳龙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无符合条件候选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指数未满足P0前置，不从个股反包倒推。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锡华等仅历史跟踪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空转趋只解决跟踪对象，不直接给买点；前置身份不足者不得冒充。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龙头首阴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锡华不自动成立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高开低走不自动生成首阴买点；须上游身份与工具条件完整。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4K/6K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需回查原文/体系依据不足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量价、时点与失效参数不得臆造。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经典弱转强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无盘前确认对象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必须由前一日预期基准、竞价、量能、均价、回封和题材联动确认；不反向创造身份。</w:t>
            </w:r>
          </w:p>
        </w:tc>
      </w:tr>
      <w:tr>
        <w:trPr>
          <w:cantSplit/>
        </w:trPr>
        <w:tc>
          <w:tcPr>
            <w:tcW w:type="dxa" w:w="216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分离确认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H4两票仅盘中观察</w:t>
            </w:r>
          </w:p>
        </w:tc>
        <w:tc>
          <w:tcPr>
            <w:tcW w:type="dxa" w:w="52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华瓷失效后，内蒙新华/世联行同组第一只有效涨停才可能形成超级先手观察。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8 板块梯队 主流分支与带队票验证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A 核心观察对象板块验证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候选/口径</w:t>
            </w:r>
          </w:p>
        </w:tc>
        <w:tc>
          <w:tcPr>
            <w:tcW w:type="dxa" w:w="324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跟风数量与名单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梯队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带动/分支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  <w:br/>
              <w:t>严格：MLCC/氧化锆</w:t>
              <w:br/>
              <w:t>宽：“华字辈”/电子材料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严格封板跟风：双星新材002585 H1等，数量口径因交叉概念待确认。宽“华字辈”封板约30只：内蒙新华H4、华软/华纺H3、新华文轩/华金H2及多只H1。炸板/明显跟涨不混算。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严格MLCC缺H2/H3/H4→不完整；宽“华字辈”H1/H2/H3/H4/H5齐全。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华瓷09:25一字，宽口径随后扩散；因一字与玄学标签，封板前后因果只能认“情绪带队”，不能等同产业带动。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最早有效封板/高度/辨识度均为华瓷；主带队确认但一字不可成交，产业梯队不足。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  <w:br/>
              <w:t>严格：出版传媒</w:t>
              <w:br/>
              <w:t>宽：文化消费/华字辈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严格跟风：新华文轩601811 H2、新华传媒600825 H1等；宽口径另含“华字辈”多股。触板炸板与明显跟涨名单公开数据不足。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严格H4+H2+H1，缺H3→不完整；宽口径完整。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09:37封板晚于华瓷一字；更多是宽口径情绪扩散，不证明其独立带队。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严格分支带队预选；需9月22日后排晋级与有效分离确认。</w:t>
            </w:r>
          </w:p>
        </w:tc>
      </w:tr>
      <w:tr>
        <w:trPr>
          <w:cantSplit/>
        </w:trPr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  <w:br/>
              <w:t>严格：房地产服务</w:t>
              <w:br/>
              <w:t>宽：地产链</w:t>
            </w:r>
          </w:p>
        </w:tc>
        <w:tc>
          <w:tcPr>
            <w:tcW w:type="dxa" w:w="324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封板跟风8只左右：绿地控股600606 H2，华远控股600743、康力电梯002367、海鸥住工002084、华丽家族600503、我爱我家000560、华发股份600325等H1。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H4+H2+H1，缺H3→不完整。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13:17封板前后地产链持续扩散，板块联动证据较完整。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地产主带队世联行；但梯队断层，9月22日只作超级先手观察。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ageBreakBefore/>
        <w:spacing w:after="0" w:line="24" w:lineRule="auto"/>
      </w:pP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B 当日主流分支带队表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主流分支</w:t>
            </w:r>
          </w:p>
        </w:tc>
        <w:tc>
          <w:tcPr>
            <w:tcW w:type="dxa" w:w="12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最高高度</w:t>
            </w:r>
          </w:p>
        </w:tc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最早有效封板</w:t>
            </w:r>
          </w:p>
        </w:tc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封单最稳</w:t>
            </w:r>
          </w:p>
        </w:tc>
        <w:tc>
          <w:tcPr>
            <w:tcW w:type="dxa" w:w="165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辨识度最高</w:t>
            </w:r>
          </w:p>
        </w:tc>
        <w:tc>
          <w:tcPr>
            <w:tcW w:type="dxa" w:w="252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主带队/梯队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跟风/次日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华字辈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华瓷H5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华瓷09:25一字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华瓷一字；撤单待核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华瓷；H1—H5齐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约30只；高潮延续待验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南华H3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南华09:25一字；可成交新华制药09:30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南华一字特殊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南华；H1/H2/H3齐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约20只；次日看后排晋级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地产链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世联行H4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H1华远09:25；高度票世联13:17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世联行；缺H3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约9只；后排联动强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大消费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龙头/金健H3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国芳H2约09:47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国芳/金健分歧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主带队待确认；H1/H2/H3齐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约9只；三项不一致不硬选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PCB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大亚圣象H2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超颖电子H1约13:25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大亚圣象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主带队待确认；缺H3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4只涨停；安德利跌停负反馈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</w:t>
            </w:r>
          </w:p>
        </w:tc>
        <w:tc>
          <w:tcPr>
            <w:tcW w:type="dxa" w:w="12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博通/三羊马H2</w:t>
            </w:r>
          </w:p>
        </w:tc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新亚制程H1约10:17</w:t>
            </w:r>
          </w:p>
        </w:tc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165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待确认</w:t>
            </w:r>
          </w:p>
        </w:tc>
        <w:tc>
          <w:tcPr>
            <w:tcW w:type="dxa" w:w="252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无已确认主带队；缺H3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约7只；分支分散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C 前一交易日带队或预选票次日表现账本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09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9月21日真实表现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后排同步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映射结论</w:t>
            </w:r>
          </w:p>
        </w:tc>
        <w:tc>
          <w:tcPr>
            <w:tcW w:type="dxa" w:w="230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09:25一字封5板，收24.06涨停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“华字辈”约30只涨停；严格MLCC梯队仍不足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继续涨停→情绪带队有效；产业延续不足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9月22日T+2，仅持仓管理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高开约4.5%，最高约+7.8%，收24.25、-1.30%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次新未成为当日主线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高开低走→带队失败、情绪转弱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T+1证伪，移入历史账本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09:30封3板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芯片有诚邦H2、博通H2及多只首板交叉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继续涨停→带队有效；后排仍需去除交叉概念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观察3进4与芯片后排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13:17封4板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绿地H2，多只地产首板同步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继续涨停且后排强化→带队有效、情绪延续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9月22日超级先手条件观察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科森科技</w:t>
            </w:r>
          </w:p>
        </w:tc>
        <w:tc>
          <w:tcPr>
            <w:tcW w:type="dxa" w:w="309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收23.35、-0.30%，未连板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机器人约7只涨停但领导分散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未继续涨停→原带队失败；板块换领导待确认</w:t>
            </w:r>
          </w:p>
        </w:tc>
        <w:tc>
          <w:tcPr>
            <w:tcW w:type="dxa" w:w="230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不恢复原首次窗口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固定映射：继续涨停→带队有效、情绪延续；高开低走→带队失败、情绪转弱；低开闷杀→带队证伪、可能退潮。若后排不跟，改记“个股抱团/板块延续不足”。</w:t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9 核心候选竞价与盘中执行卡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158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6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信号出现怎么做</w:t>
            </w:r>
          </w:p>
        </w:tc>
        <w:tc>
          <w:tcPr>
            <w:tcW w:type="dxa" w:w="41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不出现或负面信号怎么做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09:15—09:25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先核非ST跌停、安德利类A杀是否扩散及TIGHT是否恶化；观察华瓷封单、内蒙新华/世联行及后排强弱。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闸门转CLOSED/UNKNOWN、华瓷仍强或H4双票并列：主动新仓为0。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09:30—09:45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只做信息确认：华瓷若开板，观察换手与回封；比较H4双票是否开始分离及板块梯队晋级。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任何开盘抢跑、无板块联动或一字不可成交均不执行。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09:45—13:30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确认华瓷是延续还是失效；确认医药、地产、华字辈高潮后承接。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华瓷未明确淘汰、H4互卡或后排退潮：继续观望。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13:30—14:35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仅当华瓷继续连板预期极低，内蒙新华/世联行出现同层唯一最高、主动封板/回封、10cm振幅≤9.99且板块同步，才核验超级先手。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缺任一条件、老空间仍强、同层未分离或分时剧震：放弃。</w:t>
            </w:r>
          </w:p>
        </w:tc>
      </w:tr>
      <w:tr>
        <w:trPr>
          <w:cantSplit/>
        </w:trPr>
        <w:tc>
          <w:tcPr>
            <w:tcW w:type="dxa" w:w="158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14:35以后</w:t>
            </w:r>
          </w:p>
        </w:tc>
        <w:tc>
          <w:tcPr>
            <w:tcW w:type="dxa" w:w="46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只处理已有持仓风险，不新增。</w:t>
            </w:r>
          </w:p>
        </w:tc>
        <w:tc>
          <w:tcPr>
            <w:tcW w:type="dxa" w:w="41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任何14:35后才首次出现的封板，不计超级先手买点。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10 超预期 符合预期 低预期三套剧本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51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剧本</w:t>
            </w:r>
          </w:p>
        </w:tc>
        <w:tc>
          <w:tcPr>
            <w:tcW w:type="dxa" w:w="446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客观信号</w:t>
            </w:r>
          </w:p>
        </w:tc>
        <w:tc>
          <w:tcPr>
            <w:tcW w:type="dxa" w:w="223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无持仓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已有持仓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超预期/高潮延续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非ST跌停维持个位数；华瓷换手后回封6板；医药/地产/消费梯队继续晋级。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常规新开仓仍为空；不追华瓷T+2。只有盘中超级先手完整触发才另行核验。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守前收、均价、回封和板块联动；不在加速末端追加。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符合预期/高潮分化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华瓷高位换手，H4一强一弱；涨停减少但跌停不扩散。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继续等待，不把分离本身当买点。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持强汰弱；带队独舞时降级为个股抱团。</w:t>
            </w:r>
          </w:p>
        </w:tc>
      </w:tr>
      <w:tr>
        <w:trPr>
          <w:cantSplit/>
        </w:trPr>
        <w:tc>
          <w:tcPr>
            <w:tcW w:type="dxa" w:w="151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低预期/退潮转折</w:t>
            </w:r>
          </w:p>
        </w:tc>
        <w:tc>
          <w:tcPr>
            <w:tcW w:type="dxa" w:w="446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跌停重新扩散；华瓷开板无回封；内蒙新华/世联行双双低开或炸板，后排批量走弱。</w:t>
            </w:r>
          </w:p>
        </w:tc>
        <w:tc>
          <w:tcPr>
            <w:tcW w:type="dxa" w:w="223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放弃全部观察，闸门转CLOSED时主动新仓为0。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优先利用流动性减仓/退出，不等待尾盘修复。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逐票客观观察条件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60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超预期</w:t>
            </w:r>
          </w:p>
        </w:tc>
        <w:tc>
          <w:tcPr>
            <w:tcW w:type="dxa" w:w="2880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符合预期</w:t>
            </w:r>
          </w:p>
        </w:tc>
        <w:tc>
          <w:tcPr>
            <w:tcW w:type="dxa" w:w="201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低预期或失效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换手后6板回封，“华字辈”与严格MLCC后排同步。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围绕24.06与均价换手，个股强但产业分支仍弱。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开板后失守24.06与均价、无回封，后排批量走弱。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华瓷失效后唯一晋级，传媒后排同步。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与世联行互有强弱但未唯一分离。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低开闷杀、炸板无回封或被世联行反卡。</w:t>
            </w:r>
          </w:p>
        </w:tc>
      </w:tr>
      <w:tr>
        <w:trPr>
          <w:cantSplit/>
        </w:trPr>
        <w:tc>
          <w:tcPr>
            <w:tcW w:type="dxa" w:w="172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</w:r>
          </w:p>
        </w:tc>
        <w:tc>
          <w:tcPr>
            <w:tcW w:type="dxa" w:w="360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华瓷失效后唯一晋级，地产H2/H1继续晋级。</w:t>
            </w:r>
          </w:p>
        </w:tc>
        <w:tc>
          <w:tcPr>
            <w:tcW w:type="dxa" w:w="2880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地产延续但与内蒙新华未分离。</w:t>
            </w:r>
          </w:p>
        </w:tc>
        <w:tc>
          <w:tcPr>
            <w:tcW w:type="dxa" w:w="201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低开闷杀、地产后排批量炸板或被内蒙新华反卡。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11 历史账本与后续阶段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DE3"/>
          <w:left w:val="single" w:sz="4" w:color="D8DDE3"/>
          <w:bottom w:val="single" w:sz="4" w:color="D8DDE3"/>
          <w:right w:val="single" w:sz="4" w:color="D8DDE3"/>
          <w:insideH w:val="single" w:sz="4" w:color="D8DDE3"/>
          <w:insideV w:val="single" w:sz="4" w:color="D8DDE3"/>
        </w:tblBorders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1872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股票/锚点</w:t>
            </w:r>
          </w:p>
        </w:tc>
        <w:tc>
          <w:tcPr>
            <w:tcW w:type="dxa" w:w="2376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模式与T日</w:t>
            </w:r>
          </w:p>
        </w:tc>
        <w:tc>
          <w:tcPr>
            <w:tcW w:type="dxa" w:w="208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当前阶段</w:t>
            </w:r>
          </w:p>
        </w:tc>
        <w:tc>
          <w:tcPr>
            <w:tcW w:type="dxa" w:w="1944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首次窗口</w:t>
            </w:r>
          </w:p>
        </w:tc>
        <w:tc>
          <w:tcPr>
            <w:tcW w:type="dxa" w:w="2808"/>
            <w:shd w:fill="17365D"/>
            <w:tcMar>
              <w:top w:w="34" w:type="dxa"/>
              <w:bottom w:w="34" w:type="dxa"/>
              <w:start w:w="60" w:type="dxa"/>
              <w:end w:w="6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后续处理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华瓷股份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9月21日T+1成功；9月22日T+2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首次窗口结束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只作持仓管理；一字不可成交不能补写为买点。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锡华科技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广义空接/控怪预选T=9月18日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9月21日T+1高开低走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首次窗口证伪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断板H归零，移入历史/空转趋观察。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内蒙新华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非新广义空接T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9月21日H4；9月22日观察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无常规首次窗口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仅华瓷失效且盘中超级先手完整触发时核验。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世联行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地产带队预选T=9月18日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9月21日H4带队有效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地产梯队缺H3；target只作盘中超级先手观察。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华软科技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芯片带队预选T=9月18日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9月21日H3带队有效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继续记录芯片H2/H1后排晋级，不创造主体身份。</w:t>
            </w:r>
          </w:p>
        </w:tc>
      </w:tr>
      <w:tr>
        <w:trPr>
          <w:cantSplit/>
        </w:trPr>
        <w:tc>
          <w:tcPr>
            <w:tcW w:type="dxa" w:w="1872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南华生物</w:t>
            </w:r>
          </w:p>
        </w:tc>
        <w:tc>
          <w:tcPr>
            <w:tcW w:type="dxa" w:w="2376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医药带队预选T=9月21日</w:t>
            </w:r>
          </w:p>
        </w:tc>
        <w:tc>
          <w:tcPr>
            <w:tcW w:type="dxa" w:w="208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9月22日带队验证</w:t>
            </w:r>
          </w:p>
        </w:tc>
        <w:tc>
          <w:tcPr>
            <w:tcW w:type="dxa" w:w="1944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非主体首次窗口</w:t>
            </w:r>
          </w:p>
        </w:tc>
        <w:tc>
          <w:tcPr>
            <w:tcW w:type="dxa" w:w="2808"/>
            <w:tcMar>
              <w:top w:w="34" w:type="dxa"/>
              <w:bottom w:w="34" w:type="dxa"/>
              <w:start w:w="60" w:type="dxa"/>
              <w:end w:w="60" w:type="dxa"/>
            </w:tcMar>
            <w:vAlign w:val="top"/>
            <w:shd w:fill="F3F5F7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111111"/>
                <w:sz w:val="16"/>
              </w:rPr>
              <w:t>医药H1/H2/H3齐，观察次日是否继续带动。</w:t>
            </w:r>
          </w:p>
        </w:tc>
      </w:tr>
    </w:tbl>
    <w:p>
      <w:pPr>
        <w:keepNext w:val="0"/>
        <w:spacing w:after="20" w:line="252" w:lineRule="auto"/>
      </w:pPr>
      <w:r>
        <w:rPr>
          <w:rFonts w:ascii="Noto Sans CJK SC" w:hAnsi="Noto Sans CJK SC" w:eastAsia="Noto Sans CJK SC"/>
          <w:b w:val="0"/>
          <w:color w:val="111111"/>
          <w:sz w:val="19"/>
        </w:rPr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T+2/T+3/T+4：华瓷进入T+2，但首页不恢复首次窗口。只有T+1客观无成交机会或主仓已在空接龙等P0前提全部满足，且选择不同题材分支龙头，才可讨论补救；个人未执行不构成补救。</w:t>
      </w:r>
    </w:p>
    <w:p>
      <w:pPr>
        <w:pageBreakBefore/>
        <w:spacing w:after="0" w:line="24" w:lineRule="auto"/>
      </w:pPr>
    </w:p>
    <w:p>
      <w:pPr>
        <w:pStyle w:val="Heading1"/>
        <w:keepNext/>
        <w:spacing w:after="100" w:line="252" w:lineRule="auto"/>
      </w:pPr>
      <w:r>
        <w:rPr>
          <w:rFonts w:ascii="Noto Sans CJK SC" w:hAnsi="Noto Sans CJK SC" w:eastAsia="Noto Sans CJK SC"/>
          <w:b/>
          <w:color w:val="111111"/>
          <w:sz w:val="31"/>
        </w:rPr>
        <w:t>12 受控未知项 数据来源与风险提示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受控未知项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竞价封单/撤单、逐笔、实际开板次数、回封量、分时均价和全天封单稳定性：待盘中确认；收盘数据不能倒推盘中买点。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财联社为103涨停、21连板、25炸板；芦苇复盘显示严格跌停2只，另有无涨跌幅限制新股C沈鼓大跌。不同口径分开记录。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X=7为已维护账本值；9月18日H4锚定梯队T+1并未全部失败，故不下压X。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Y=6沿用最近验证值；历史两个连续有效A/B来源链未完整恢复，不能用Hmax=5或单票失败重算。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华瓷9月22日竞价封单、撤单、开板换手与回封稳定性待确认；一字晋级不等于可成交买点。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内蒙新华与世联行只有在华瓷失效、同层唯一分离、时间/振幅/回封/板块全部满足时，才进入超级先手核验。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严格MLCC、地产、PCB、机器人梯队均有断层；宽“华字辈”和医药完整不得反向创造模式身份。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4K/6K量价、时点和失效参数：需回查原文/体系依据不足，不从历史案例补造。</w:t>
      </w:r>
    </w:p>
    <w:p>
      <w:pPr>
        <w:pStyle w:val="ListBullet"/>
        <w:spacing w:after="30" w:line="252" w:lineRule="auto"/>
      </w:pPr>
      <w:r>
        <w:rPr>
          <w:rFonts w:ascii="Noto Sans CJK SC" w:hAnsi="Noto Sans CJK SC" w:eastAsia="Noto Sans CJK SC"/>
          <w:b w:val="0"/>
          <w:color w:val="111111"/>
          <w:sz w:val="18"/>
        </w:rPr>
        <w:t>情绪许可CAUTION，中高置信度；依据E1第2—5、16—17、21、23—25节。E1部分图位与第12、13节正文缺失；情绪只作辅助约束，不创造身份、买点、窗口或仓位。</w:t>
      </w:r>
    </w:p>
    <w:p>
      <w:pPr>
        <w:pStyle w:val="Heading2"/>
        <w:keepNext/>
        <w:spacing w:after="80" w:line="252" w:lineRule="auto"/>
      </w:pPr>
      <w:r>
        <w:rPr>
          <w:rFonts w:ascii="Noto Sans CJK SC" w:hAnsi="Noto Sans CJK SC" w:eastAsia="Noto Sans CJK SC"/>
          <w:b/>
          <w:color w:val="111111"/>
          <w:sz w:val="23"/>
        </w:rPr>
        <w:t>主要公开数据来源 复核时间 2026年9月21日17时27分 北京时间</w:t>
      </w:r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交易日与9月休市核验：</w:t>
      </w:r>
      <w:hyperlink r:id="rId9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上交所2026年休市安排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103涨停、21连板、25炸板、封板率80%：</w:t>
      </w:r>
      <w:hyperlink r:id="rId10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财联社涨停分析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连板晋级率66.67%与主流题材：</w:t>
      </w:r>
      <w:hyperlink r:id="rId11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财联社连板复盘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封板时间、严格连板梯队与主流分支数量：</w:t>
      </w:r>
      <w:hyperlink r:id="rId12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芦苇复盘连板梯队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指数、成交额、上涨家数与板块表现：</w:t>
      </w:r>
      <w:hyperlink r:id="rId13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新浪收盘综述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高开低走、收盘价、涨跌幅与换手：</w:t>
      </w:r>
      <w:hyperlink r:id="rId14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锡华科技收盘数据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一字涨停、封单与异常波动风险提示：</w:t>
      </w:r>
      <w:hyperlink r:id="rId15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华瓷股份一字5板</w:t>
        </w:r>
      </w:hyperlink>
    </w:p>
    <w:p>
      <w:pPr>
        <w:spacing w:after="40"/>
      </w:pPr>
      <w:r>
        <w:rPr>
          <w:rFonts w:ascii="Noto Sans CJK SC" w:hAnsi="Noto Sans CJK SC" w:eastAsia="Noto Sans CJK SC"/>
          <w:b w:val="0"/>
          <w:color w:val="111111"/>
          <w:sz w:val="17"/>
        </w:rPr>
        <w:t>PCB热门股跌停与监管函背景：</w:t>
      </w:r>
      <w:hyperlink r:id="rId16">
        <w:r>
          <w:rPr>
            <w:color w:val="17365D"/>
            <w:u w:val="single"/>
            <w:rFonts w:eastAsia="Noto Sans CJK SC" w:ascii="Noto Sans CJK SC" w:hAnsi="Noto Sans CJK SC"/>
            <w:sz w:val="17"/>
          </w:rPr>
          <w:t>安德利跌停复盘</w:t>
        </w:r>
      </w:hyperlink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 w:val="0"/>
          <w:color w:val="5B6573"/>
          <w:sz w:val="17"/>
        </w:rPr>
        <w:t>口径纪律：严格H只计连续涨停，N+反包不累计；同题材跟风按“收盘封住/触板炸板/明显跟涨未板”分层，ST特殊票不混入常规资格。</w:t>
      </w:r>
    </w:p>
    <w:p>
      <w:pPr>
        <w:keepNext w:val="0"/>
        <w:spacing w:after="60" w:line="252" w:lineRule="auto"/>
      </w:pPr>
      <w:r>
        <w:rPr>
          <w:rFonts w:ascii="Noto Sans CJK SC" w:hAnsi="Noto Sans CJK SC" w:eastAsia="Noto Sans CJK SC"/>
          <w:b/>
          <w:color w:val="A61B1B"/>
          <w:sz w:val="18"/>
        </w:rPr>
        <w:t>风险提示：仅用于整理用户私有交易理论，不构成投资建议，不承诺收益。高位股票可能快速跌停、无法成交或停牌；所有动作以实时风险闸门和客观触发为前提。</w:t>
      </w:r>
    </w:p>
    <w:sectPr w:rsidR="00FC693F" w:rsidRPr="0006063C" w:rsidSect="00034616">
      <w:footerReference w:type="default" r:id="rId17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B6573"/>
        <w:sz w:val="15"/>
      </w:rPr>
      <w:t xml:space="preserve">2026年9月22日 A股模式股盘前操作策略｜第 </w:t>
    </w:r>
    <w:fldSimple w:instr="PAGE"/>
    <w:r>
      <w:rPr>
        <w:rFonts w:ascii="Noto Sans CJK SC" w:hAnsi="Noto Sans CJK SC" w:eastAsia="Noto Sans CJK SC"/>
        <w:b w:val="0"/>
        <w:color w:val="5B6573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se.com.cn/disclosure/announcement/general/c/c_20251222_10802507.shtml" TargetMode="External"/><Relationship Id="rId10" Type="http://schemas.openxmlformats.org/officeDocument/2006/relationships/hyperlink" Target="https://www.cls.cn/detail/2488860" TargetMode="External"/><Relationship Id="rId11" Type="http://schemas.openxmlformats.org/officeDocument/2006/relationships/hyperlink" Target="https://finance.eastmoney.com/a/202609213880000229.html" TargetMode="External"/><Relationship Id="rId12" Type="http://schemas.openxmlformats.org/officeDocument/2006/relationships/hyperlink" Target="https://www.lwwhy.com/review/limitup_column/2026-09-21" TargetMode="External"/><Relationship Id="rId13" Type="http://schemas.openxmlformats.org/officeDocument/2006/relationships/hyperlink" Target="https://finance.sina.com.cn/stock/bxjj/2026-09-21/doc-inisqmaa5885498.shtml" TargetMode="External"/><Relationship Id="rId14" Type="http://schemas.openxmlformats.org/officeDocument/2006/relationships/hyperlink" Target="https://stock.stockstar.com/RB2026092100015749.shtml" TargetMode="External"/><Relationship Id="rId15" Type="http://schemas.openxmlformats.org/officeDocument/2006/relationships/hyperlink" Target="https://finance.sina.com.cn/jjxw/2026-09-21/doc-inisqeue5919435.shtml" TargetMode="External"/><Relationship Id="rId16" Type="http://schemas.openxmlformats.org/officeDocument/2006/relationships/hyperlink" Target="https://stock.10jqka.com.cn/20260921/c680122284.shtml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2026年9月22日 A股模式股盘前操作策略</dc:title>
  <dc:subject>基于2026年9月21日完整收盘的私有体系盘前执行报告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