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Noto Sans CJK SC" w:hAnsi="Noto Sans CJK SC" w:eastAsia="Noto Sans CJK SC"/>
          <w:b/>
          <w:color w:val="111111"/>
          <w:sz w:val="42"/>
        </w:rPr>
        <w:t>2026年9月23日 A股模式股盘前操作策略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color w:val="5B6573"/>
          <w:sz w:val="21"/>
        </w:rPr>
        <w:t>基于2026年9月22日完整收盘</w:t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 首页执行结论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96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6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日期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analysis_date：2026-09-22 17:30（北京时间）</w:t>
              <w:br/>
              <w:t>latest_market_date：2026-09-22</w:t>
              <w:br/>
              <w:t>target_trade_date：2026-09-23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9月22日已完整收盘；9月23日为下一正式交易日。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P0风险结论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TIGHT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非ST严格跌停3只，连续维持个位数，未触发强制空仓；但连板晋级率降至33.33%，超3000股下跌，“华字辈”后排与中位票出现负反馈。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CAUTION｜置信度：中高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中周期：修复延续；小周期：高潮分化。指数冲高回落、成交放量，连板高度升至6板；但涨跌比转弱、18股炸板、华软/华纺大跌。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主体候选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无广义空接首次窗口</w:t>
              <w:br/>
              <w:t>华瓷：压突突破验证对象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华瓷9月22日H=6触及Y=6，摸顶日原则不做；9月23日只有真实站上7板、H&gt;Y后才取得独立压突突破候选资格。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买点条件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盘前不预埋买单，只做条件验证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华瓷必须有效突破并站稳Y、主动封板或回封、风险不恶化、同梯队与板块确认；快速回落、一字不可成交或后排退潮均不执行。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P0仓位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不新增自定义比例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CAUTION只能收缩权限；母规则未编码本情绪状态的额外百分比。条件未完整时主动新仓为0。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五变量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Hmax=6｜X=7｜C=4｜Y=6*</w:t>
              <w:br/>
              <w:t>H：华瓷6；内蒙新华5；南华生物4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X≠C≠Y。华瓷H6&gt;C4且H6=Y6；Y沿用最近验证值，来源链仍待完整恢复。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主流分支/带队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华字情绪：华瓷</w:t>
              <w:br/>
              <w:t>传媒：内蒙新华</w:t>
              <w:br/>
              <w:t>医药：南华生物</w:t>
              <w:br/>
              <w:t>AI应用：南威软件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传媒首板/2板/3板齐；医药、AI应用、芯片和PCB均有梯队断层。华字辈由31只缩至11只连板，高潮进入分化。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最终执行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一个条件验证对象，无常规追板候选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华瓷只按独立压突模式验证；不得恢复其已结束的广义空接首次窗口。H3三票仅列极端条件下的盘中超级先手观察。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总原则：先风险、再情绪、后身份与买点。摸Y不做；只有真实突破Y并通过全部过滤，才继续核验。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仅用于整理用户私有交易理论，不构成投资建议。</w:t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2 日期 风险总闸门与情绪环境辅助判断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交易日核验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2026年9月22日为正式交易日，17:30后收盘数据可核；9月23日为下一正式交易日。上交所中秋休市自9月25日起。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涨停口径差异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财联社：63股涨停、24只连板、18股封板未遂、封板率78%；新浪/每经为64股涨停，腾讯转述为62股、封板率76%。差异原样保留。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跌停口径差异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新浪：全市场跌停5家；芦苇复盘严格非ST跌停3只（荣丰控股、盛景微、菲林格尔）。强制空仓阈值按严格非ST口径3只处理。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指数与量能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沪指+0.06%报3952.13点，深成指-0.05%，创业板指+0.01%；成交约2.14万亿元，较前日增加约1040亿元；2374股上涨、3030股下跌。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高位反馈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华瓷一字晋级6板、内蒙新华换手晋级5板、南华生物一字4板；华软科技与华纺股份跌近8%至9.5%，地产带队世联行断板。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强制空仓阈值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9月21日严格跌停2只、9月22日3只，连续低于10只，强制空仓未触发；但中位补跌与炸板增多，不能升级为OPEN。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闸门结论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TIGHT。高度继续抬升，但市场放量滞涨、个股跌多涨少、晋级率骤降，保留高位与高潮分化预警。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ageBreakBefore/>
        <w:spacing w:after="0" w:line="24" w:lineRule="auto"/>
      </w:pP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1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阶段假设与证据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退潮后的修复延续，但指数放量冲高回落，尚未证明已转为稳定主升。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小周期阶段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高潮分化：前排继续加速，高度由5板升至6板；后排从31只“华字辈”涨停收缩到11只连板，中位负反馈加大。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指数状态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三大指数接近平盘，创业板盘中一度涨超2%后回落；放量未换来指数有效突破。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短线赚钱效应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63/64只涨停、24只连板、严格跌停3只；但晋级率33.33%、18股炸板、超3000股下跌，赚钱效应集中在前排。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共振/背离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连板高度和成交额向上，指数与上涨家数未同步；前排加速与中后排退潮形成明显背离。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支持证据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华瓷6板、内蒙新华5板、南华生物4板；传媒、AI应用与医药仍有多股涨停。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主要反证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华瓷与南华一字不可成交；华字后排大幅收缩；华软/华纺补跌；地产、PCB与部分周期方向走弱。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CAUTION：收缩到首个独立验证节点，提高确认要求；不因高潮标签提高仓位，不解除P0限制。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2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7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Hmax</w:t>
            </w:r>
          </w:p>
        </w:tc>
        <w:tc>
          <w:tcPr>
            <w:tcW w:type="dxa" w:w="33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最高严格连板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X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</w:t>
            </w:r>
          </w:p>
        </w:tc>
        <w:tc>
          <w:tcPr>
            <w:tcW w:type="dxa" w:w="38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闽东电力6板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摸Y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第一次连续压缩，H&gt;C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华瓷/锡华4板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第二次连续压缩，并列锚定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T+1分离成功；锡华断板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华瓷股份6板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T+2延续，H=Y摸顶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15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  <w:tc>
          <w:tcPr>
            <w:tcW w:type="dxa" w:w="76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计算与边界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华瓷股份真实6连板；内蒙新华5板、南华生物4板。N+反包不累计。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7（账本值）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9月18日有效H4锚定梯队在T+1未全部淘汰，华瓷继续走到H6；没有规定事件触发X下压或上修。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C=clamp(X−3,3,5)=4；未触发两轮锚定梯队T+1全灭或空间连续两次压在3板及以下重置。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6*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沿用最近验证值；最近两个连续有效A/B来源链仍待完整恢复，禁止用Hmax重算。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逐票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华瓷6；内蒙新华5；南华生物4；新华文轩/大亚圣象/博通集成3；13只H2；世联行与华软断板。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强制标记：X≠C≠Y。华瓷H6&gt;C4且H6=Y6，属于摸顶；9月22日原则不做。9月23日只有H&gt;Y才进入突破候选核验。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Y压制信号来源账本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16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失败高度</w:t>
            </w:r>
          </w:p>
        </w:tc>
        <w:tc>
          <w:tcPr>
            <w:tcW w:type="dxa" w:w="27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有效性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连续性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最近已验证两条A/B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最高6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沿用Y=6；源链待补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不新增推断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澳弘断板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H5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无有效广义空接锚定身份；不得纳入A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非有效信号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9月18日H4锚定梯队T+1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H4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华瓷晋级、锡华失败，未全部失败，不构成A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Y维持6*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普通高位与中位分化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H4/H3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世联行、华软等失败不自动属于A/B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不新增有效信号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4 2026年9月23日第一次可操作或验证对象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结论：无广义空接常规首次窗口。华瓷只保留“压突突破验证”，不是盘前买入指令；若9月23日不能真实形成H&gt;Y，则本轮没有第一次可操作对象。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5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时间/身份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9月23日价值</w:t>
            </w:r>
          </w:p>
        </w:tc>
        <w:tc>
          <w:tcPr>
            <w:tcW w:type="dxa" w:w="18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广义空接T=9月18日；target为T+3</w:t>
              <w:br/>
              <w:t>独立压突：9月22日H=Y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首次压突突破验证：只有晋级7板并站稳Y之上，才取得突破候选资格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盘前不挂买单；一字不可成交、快速回落或板块不确认均放弃。P0缺少压突统一盘中量价买点参数时只验证不执行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守前收26.47、均价、换手与回封稳定性；H&gt;Y后仍须按P0持仓卡处理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H3三票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新华文轩/大亚圣象/博通集成</w:t>
              <w:br/>
              <w:t>9月22日H3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仅极端条件下的盘中超级先手观察，不是常规节点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须华瓷、内蒙新华、南华生物全部明显失效，三票中唯一一只于13:30—14:35成为H4最高、主动封板/回封且振幅和板块合规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已有持仓只按个股与板块强弱管理；不因上方失败自动加仓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逐票身份与数据卡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81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完整字段记录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 001216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严格题材MLCC/氧化锆，宽口径电子材料与“华字辈”；H6，Hmax6，X7，C4，Y6*。9月22日09:25一字涨停，非公告起手票、非停牌、非被动空间。模式T=9月18日，latest为T+2，target 9月23日为T+3，广义空接首次窗口已结束。H6&gt;C4且H6=Y6，摸顶日原则不做；target只有封住7板并稳定H&gt;Y，才获得独立压突突破候选资格。禁止：把一字晋级、摸Y或“华字辈”高潮倒推为买点。失效：无法站稳Y、快速回落、同组反卡、板块退潮或Y账本纠错。数据缺口：竞价撤单、开板次数、回封量、分时均价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 603230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题材出版传媒，宽口径“华字辈”与文化消费；H5，Hmax6，X7，C4，Y6*。9月22日09:42换手封板，未停牌、非公告票；不是首次新空间，H5&gt;C4且H5&lt;Y6。target不列广义空接首次窗口，也不列压突突破。作为传媒带队票，观察后排是否继续晋级。禁止：追随华瓷高位加速、把传媒完整梯队等同主体身份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南华生物 000504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题材医药，宽口径“华字辈”；H4，Hmax6，X7，C4，Y6*。9月22日09:25一字4板，H=C但上方H6/H5有效，不是首次空间/隐形空间；target不列常规介入。若上方全部失效且自身晋级H5，则H&gt;C，不取得广义空接资格。只记录医药带队与已有持仓管理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新华文轩/大亚圣象/博通集成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分别为传媒、PCB、国产芯片/机器人；均H3，Hmax6，X7，C4，Y6*。不是9月22日新空间。9月23日只有上方H6/H5/H4全部失效、三者唯一分离且自身在H4≤C、13:30—14:35主动封板/回封、10cm振幅≤9.99个百分点、板块联动与风险合规时，才进入盘中超级先手核验。并列、剧震或14:35后出现均禁止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5 今天盘中超级先手结果与明天常规节点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池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0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依据/动作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9月22日已结束超级先手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华瓷继续一字H6，老空间未失效；内蒙新华H5与南华H4不满足提前接空间结构。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9月22日已结束空接断板龙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上方华瓷未失效，内蒙新华有效H5；没有“上方被动空间明显失效＋下方隐形空间逐级上位”。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9月23日常规节点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华瓷压突突破验证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条件候选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只验证H&gt;Y；摸Y后的次日若未站上7板，或一字不可成交，均不执行。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9月23日待触发超级先手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H3三票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极端条件观察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上方H6/H5/H4全部失效后，使用9月22日收盘C=4快照；13:30—14:35仅核验唯一H4、主动封板/回封且板块同步者。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6 T日有望成为预选池与逐票淘汰原因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9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H/C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预选结论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通过/淘汰原因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 001216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非新T日；独立压突待突破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广义空接T=9月18日，首次窗口已结束；当日H=Y摸顶，target仅验证H&gt;Y。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 603230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上方华瓷H6有效，且H&gt;C；不是首次新空间/隐形空间。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南华生物 000504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上方H6/H5有效；虽H=C，仍不是首次新空间/隐形空间。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H3三票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不列盘前常规对象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上方H6/H5/H4有效；只保留target盘中极端条件超级先手观察。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H2十三票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不是首次新空间/隐形空间；仅用于板块梯队、同身位竞争与后续观察。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世联行/华软科技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带队失败或证伪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世联行收+0.63%未晋级；华软跌约9.5%，H归零。不得恢复首次窗口。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7 广义空接 断板龙 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52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依据/边界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广义/狭义空接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无新T日对象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华瓷为既有T+2并进入target T+3；H5/H4/H3均未首次成为空间。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空中飘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无新身份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身份、T日先手与T+1接力分开；不得用一字晋级或高位分化倒推。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控怪龙/空拐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无新T日对象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华瓷既有预期已进入后续阶段；target不恢复首次窗口。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公告或起手连续一字需高位连续两个正式交易日有效换手；公开证据不足，不补造阈值。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华瓷H6下方依次为H5、H4，无至少断两层；上方亦未被证实为被动空间/擦板票。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空接断板龙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上方空间未失效，下方未形成逐级上位结构。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压突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华瓷H6=Y6，摸顶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9月22日原则不做；9月23日只有H7&gt;Y6才获突破候选资格，仍须风险、盘口、同梯队和板块确认。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T+2/T+3/T+4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华瓷target为T+3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广义空接首次窗口不恢复；压突为新的独立后续模式。T+2补救不得因个人错过而成立。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负阴抱阳龙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指数与个股前置证据不完整，不从反包结果倒推。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世联/华软/锡华仅历史跟踪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空转趋只解决跟踪对象，不直接给买点；需等待独立工具。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龙头首阴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无盘前确认对象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断板或大阴不自动产生首阴买点；须上游身份与工具条件完整。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4K/6K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需回查原文/体系依据不足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量价、时点与失效参数不得臆造。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经典弱转强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无盘前确认对象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必须由前一日预期基准、竞价、量能、均价、回封和题材联动确认；不反向创造身份。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分离确认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H3三票仅盘中观察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上方全部失效后，同组第一只有效涨停才可能进入超级先手核验。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8 板块梯队 主流分支与带队票验证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A 核心观察对象板块验证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候选/口径</w:t>
            </w:r>
          </w:p>
        </w:tc>
        <w:tc>
          <w:tcPr>
            <w:tcW w:type="dxa" w:w="32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跟风数量与名单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梯队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带动/分支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  <w:br/>
              <w:t>严格：MLCC/氧化锆</w:t>
              <w:br/>
              <w:t>宽：“华字辈”/电子材料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严格产业跟风不足；宽“华字辈”约11只完成连板，含内蒙新华H5、南华生物H4、新华文轩H3、华媒/新华制药/华仁等H2。前日约31只涨停，数量显著收缩。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严格MLCC缺H2/H3/H4/H5→不完整；宽口径H2—H6齐，首板数量待完整口径核验。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华瓷09:25一字，只能确认宽口径情绪标杆；后排由31缩至11，不能认定产业带动增强。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高度、辨识度与最早封板均为华瓷；情绪带队有效但一字不可成交，严格产业延续不足。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</w:t>
              <w:br/>
              <w:t>严格：出版传媒</w:t>
              <w:br/>
              <w:t>宽：文化消费/华字辈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严格封板跟风包括新华文轩H3、华媒控股/新华传媒H2、智度股份/中国出版/引力传媒等H1。触板炸板与明显跟涨另列，公开名单不完整。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严格H5+H3+H2+H1，首板/2板/3板齐，缺H4。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09:42换手封5板；传媒后排在其前后继续封板，板块联动成立。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最高与辨识度为内蒙新华；最早封板为09:25一字票，封单稳定性待核。主带队确认：内蒙新华。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南华生物</w:t>
              <w:br/>
              <w:t>严格：医药</w:t>
              <w:br/>
              <w:t>宽：华字辈/AI制药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医药H2有哈药、新华制药、华仁药业、百花医药；H1有千金药业等。后排亦有大幅回落个股，分化加大。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H4+H2+H1，缺H3→不完整。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南华09:25一字；医药多只二板延续，但后排大幅回落，属于前排加速与后排分化。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最高/最早/辨识度均为南华；主带队确认但一字不可成交，梯队不完整。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H3三票</w:t>
              <w:br/>
              <w:t>新华文轩/大亚圣象/博通集成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分别对应传媒、PCB、国产芯片/机器人。大亚同题材H1有澳弘、贤丰、宏和；博通后排有瑞芯微、旋极、禾盛、综艺等。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传媒完整；PCB缺H2；国产芯片缺H2；机器人缺H2。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三票封板时间09:25、13:12、13:47；只能分题材验证，不能合并为一个板块。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新华文轩是传媒辅助带动；大亚/博通分别为高度票，主带队仍需与早板及辨识票进一步确认。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ageBreakBefore/>
        <w:spacing w:after="0" w:line="24" w:lineRule="auto"/>
      </w:pP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  <w:cantSplit/>
        </w:trPr>
        <w:tc>
          <w:tcPr>
            <w:tcW w:type="dxa" w:w="15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主流分支</w:t>
            </w:r>
          </w:p>
        </w:tc>
        <w:tc>
          <w:tcPr>
            <w:tcW w:type="dxa" w:w="122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最高高度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最早有效封板</w:t>
            </w:r>
          </w:p>
        </w:tc>
        <w:tc>
          <w:tcPr>
            <w:tcW w:type="dxa" w:w="15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封单最稳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辨识度最高</w:t>
            </w:r>
          </w:p>
        </w:tc>
        <w:tc>
          <w:tcPr>
            <w:tcW w:type="dxa" w:w="252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主带队/梯队</w:t>
            </w:r>
          </w:p>
        </w:tc>
        <w:tc>
          <w:tcPr>
            <w:tcW w:type="dxa" w:w="24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跟风/次日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华字情绪</w:t>
            </w:r>
          </w:p>
        </w:tc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华瓷H6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华瓷09:25一字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华瓷；撤单待核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华瓷；宽口径完整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约11只连板；由31只缩量，分化待验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传媒</w:t>
            </w:r>
          </w:p>
        </w:tc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内蒙新华H5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新华文轩/华媒09:25一字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一字票特殊，动态待核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内蒙新华；H1/H2/H3齐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多股封板；次日看H5与后排同步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医药</w:t>
            </w:r>
          </w:p>
        </w:tc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南华生物H4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南华09:25一字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南华；一字特殊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南华生物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南华；缺H3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H2四只及H1；后排分化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AI应用/云</w:t>
            </w:r>
          </w:p>
        </w:tc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南威软件H2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南威09:25一字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南威；撤单待核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南威/中新赛克分歧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南威暂定；缺H3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中新赛克、新炬等H1；待次日确认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国产芯片</w:t>
            </w:r>
          </w:p>
        </w:tc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博通集成H3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禾盛/综艺09:25首板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博通集成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博通；缺H2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多只首板；高度与早板分离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PCB</w:t>
            </w:r>
          </w:p>
        </w:tc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大亚圣象H3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宏和科技约09:52首板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澳弘/大亚分歧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主带队待确认；缺H2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H1多只；三项指向不同不硬选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地产</w:t>
            </w:r>
          </w:p>
        </w:tc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我爱我家H2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我爱我家13:00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我爱我家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我爱我家暂定；缺H3</w:t>
            </w:r>
          </w:p>
        </w:tc>
        <w:tc>
          <w:tcPr>
            <w:tcW w:type="dxa" w:w="24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世联断板；板块延续不足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C 前一交易日带队或预选票次日表现账本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09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9月22日真实表现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后排同步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映射结论</w:t>
            </w:r>
          </w:p>
        </w:tc>
        <w:tc>
          <w:tcPr>
            <w:tcW w:type="dxa" w:w="230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09:25一字封6板，收26.47涨停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“华字辈”11只连板但较前日31只显著收缩；严格MLCC不足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继续涨停→情绪带队有效；个股抱团/产业延续不足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9月23日只验证压突H&gt;Y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09:42换手封5板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新华文轩H3、华媒/新华传媒H2及多只传媒首板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继续涨停且后排强化→带队有效、情绪延续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传媒主带队，观察后排同步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南华生物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09:25一字封4板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医药四只H2与H1延续，但部分后排大幅回落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继续涨停→前排带队有效；板块延续有分歧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target只作带队与持仓验证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低开后冲高，收3.20、+0.63%，未涨停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地产由我爱我家/华丽家族H2接力，缺H3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未继续涨停→原带队失败；地产延续不足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移入历史，不恢复首次窗口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华软科技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收盘跌约9.5%，H归零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芯片仍有博通H3与多只首板，但中位负反馈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带队证伪、情绪转弱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移入历史/空转趋观察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固定映射：继续涨停→带队有效、情绪延续；高开低走→带队失败、情绪转弱；低开闷杀→带队证伪、可能退潮。若后排不跟，改记“个股抱团/板块延续不足”。</w:t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9 核心候选竞价与盘中执行卡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6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信号出现怎么做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不出现或负面信号怎么做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09:15—09:25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先核非ST跌停、中位补跌是否扩散及TIGHT是否恶化；观察华瓷封单、内蒙新华/南华生物和传媒医药后排。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闸门转CLOSED/UNKNOWN、跌停扩散或华瓷继续一字不可成交：主动新仓为0。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09:30—09:45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只做信息确认：华瓷若开板，观察是否有效换手并重新封住7板；比较内蒙新华与南华后排承接。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华瓷仅触及或快速跌回Y、无板块确认、剧烈撤单均不执行。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09:45—13:30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确认华瓷是否真实H&gt;Y并站稳；确认传媒、医药与AI应用是否从前排独舞转为梯队同步。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H≤Y、同组反卡、后排退潮或风险恶化：继续观望。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13:30—14:35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若上方H6/H5/H4全部明显失效，只对H3三票中唯一晋级H4、主动封板/回封、10cm振幅≤9.99且板块同步者核验超级先手。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缺任一条件、上方仍强、同层未分离或分时剧震：放弃。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14:35以后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只处理已有持仓风险，不新增。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任何14:35后首次出现的超级先手结构，不计买点。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10 超预期 符合预期 低预期三套剧本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5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剧本</w:t>
            </w:r>
          </w:p>
        </w:tc>
        <w:tc>
          <w:tcPr>
            <w:tcW w:type="dxa" w:w="446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客观信号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超预期/突破延续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非ST跌停维持个位数；华瓷有效换手后封住7板并站稳Y；传媒/医药后排继续晋级。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只把华瓷列为压突突破候选，仍需P0完整买点；一字不可成交不追。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守前收26.47、均价、回封和板块联动；不在加速末端无条件追加。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符合预期/高位分化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华瓷围绕Y换手，内蒙新华/南华一强一弱；涨停减少但跌停不扩散。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继续等待，不把触及7板或分离本身当买点。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持强汰弱；带队独舞时降级为个股抱团。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低预期/退潮转折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跌停重新扩散；华瓷开板无法站稳Y；内蒙新华、南华及后排批量走弱。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放弃全部观察，闸门转CLOSED时主动新仓为0。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优先利用流动性减仓/退出，不等待尾盘修复。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逐票客观观察条件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6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超预期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符合预期</w:t>
            </w:r>
          </w:p>
        </w:tc>
        <w:tc>
          <w:tcPr>
            <w:tcW w:type="dxa" w:w="20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低预期或失效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有效换手后封住7板、H&gt;Y，严格产业或相关电子材料后排同步。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触及7板但封单/回封不稳，或仅“华字辈”情绪延续。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无法站稳Y、快速回落、后排批量走弱或Y账本被纠错。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换手晋级6板，传媒H3/H2/H1同步晋级。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个股强但后排分化，记个股抱团。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低开闷杀、炸板无回封或传媒后排批量退潮。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南华生物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换手晋级5板，医药H2/H1继续晋级并补齐H3。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前排延续但后排仍分化。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一字开板无回封、医药H2批量失败。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H3三票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上方全部失效后唯一一只在13:30—14:35封H4并带动本分支。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上方未全失效或三票互卡，仅观察。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炸板无回封、振幅超限、14:35后才分离或板块不跟。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股票/锚点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模式与T日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当前阶段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首次窗口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后续处理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广义空接/控怪预选T=9月18日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9月22日T+2、H=Y；9月23日T+3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广义窗口结束；压突首次突破待验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只有H&gt;Y才列压突候选；摸Y与一字不可成交均不买。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广义空接/控怪预选T=9月18日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9月21日T+1证伪；9月22日历史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首次窗口证伪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断板H归零，只作空转趋历史观察。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传媒带队预选T=9月21日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9月22日H5带队有效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观察传媒梯队同步，不创造广义空接身份。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南华生物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医药带队预选T=9月21日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9月22日H4带队有效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医药缺H3；target观察后排是否补齐。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地产带队预选T=9月18日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9月22日断板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带队失败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移入历史，地产领导转为待确认。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华软科技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芯片带队预选T=9月18日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9月22日大跌断板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带队证伪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移入历史/空转趋观察，不恢复首次窗口。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H3三票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非新广义空接T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9月22日H3；9月23日条件观察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无盘前常规窗口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仅上方全失效且唯一H4超级先手结构完整时核验。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111111"/>
          <w:sz w:val="17"/>
        </w:rPr>
        <w:t>T+2/T+3/T+4：华瓷进入T+3，但广义空接首页不恢复首次窗口。压突是新的独立后续模式；只有真实突破Y才产生候选资格。个人未执行、恐高或错过不构成T+2补救。</w:t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12 受控未知项 数据来源与风险提示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受控未知项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竞价封单/撤单、逐笔、实际开板次数、回封量、分时均价和全天封单稳定性：待盘中确认；收盘数据不能倒推盘中买点。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涨停数存在62/63/64只差异，封板率存在76%/78%差异；新浪全市场跌停5只，芦苇严格非ST跌停3只。不同口径分开记录。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X=7为已维护账本值；没有P0规定的全淘汰或重置事件，故不因Hmax=6机械改写X。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Y=6沿用最近验证值；历史两个连续有效A/B来源链未完整恢复，不能用Hmax=6、世联或华软失败重算。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华瓷9月23日只有真实站上H7、稳定H&gt;Y后才获压突突破候选资格；P0未编码统一盘中量价买点参数时只验证，不补造。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H3三票只有在上方H6/H5/H4全部失效、唯一H4、时间/振幅/回封/板块全部满足时，才进入超级先手核验。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严格MLCC、医药、AI应用、国产芯片、PCB梯队均有断层；宽“华字辈”完整不得反向创造模式身份。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4K/6K量价、时点和失效参数：需回查原文/体系依据不足，不从历史案例补造。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情绪许可CAUTION，中高置信度；依据E1第2—5、16—17、21、23—25节。E1部分图位与第12、13节正文缺失；情绪只作辅助约束，不创造身份、买点、窗口或仓位。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主要公开数据来源 复核时间 2026年9月22日17时30分 北京时间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交易日与9月休市核验：</w:t>
      </w:r>
      <w:hyperlink r:id="rId9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上交所2026年休市安排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63涨停、24连板、18炸板、封板率78%：</w:t>
      </w:r>
      <w:hyperlink r:id="rId10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财联社涨停分析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连板晋级率33.33%、前排与中位反馈：</w:t>
      </w:r>
      <w:hyperlink r:id="rId11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财联社连板复盘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封板时间、严格连板梯队与题材归属：</w:t>
      </w:r>
      <w:hyperlink r:id="rId12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芦苇复盘连板梯队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指数、成交额、涨跌家数与涨跌停口径：</w:t>
      </w:r>
      <w:hyperlink r:id="rId13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新浪收盘综述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前日31只涨停至当日11只连板的收缩：</w:t>
      </w:r>
      <w:hyperlink r:id="rId14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华字辈分化报道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开收盘、最高价、换手与断板结果：</w:t>
      </w:r>
      <w:hyperlink r:id="rId15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世联行历史行情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收盘价、换手与成交额：</w:t>
      </w:r>
      <w:hyperlink r:id="rId16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华瓷股份收盘数据</w:t>
        </w:r>
      </w:hyperlink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口径纪律：严格H只计连续涨停，N+反包不累计；同题材跟风按“收盘封住/触板炸板/明显跟涨未板”分层，ST特殊票不混入常规资格。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8"/>
        </w:rPr>
        <w:t>风险提示：仅用于整理用户私有交易理论，不构成投资建议，不承诺收益。高位股票可能快速跌停、无法成交或停牌；所有动作以实时风险闸门和客观触发为前提。</w:t>
      </w:r>
    </w:p>
    <w:sectPr w:rsidR="00FC693F" w:rsidRPr="0006063C" w:rsidSect="00034616">
      <w:footerReference w:type="default" r:id="rId17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B6573"/>
        <w:sz w:val="15"/>
      </w:rPr>
      <w:t xml:space="preserve">2026年9月23日 A股模式股盘前操作策略｜第 </w:t>
    </w:r>
    <w:fldSimple w:instr="PAGE"/>
    <w:r>
      <w:rPr>
        <w:rFonts w:ascii="Noto Sans CJK SC" w:hAnsi="Noto Sans CJK SC" w:eastAsia="Noto Sans CJK SC"/>
        <w:b w:val="0"/>
        <w:color w:val="5B6573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e.com.cn/disclosure/announcement/general/c/c_20251222_10802507.shtml" TargetMode="External"/><Relationship Id="rId10" Type="http://schemas.openxmlformats.org/officeDocument/2006/relationships/hyperlink" Target="https://www.cls.cn/detail/2490027" TargetMode="External"/><Relationship Id="rId11" Type="http://schemas.openxmlformats.org/officeDocument/2006/relationships/hyperlink" Target="https://finance.eastmoney.com/a/202609223881251315.html" TargetMode="External"/><Relationship Id="rId12" Type="http://schemas.openxmlformats.org/officeDocument/2006/relationships/hyperlink" Target="https://www.lwwhy.com/review/limitup_column/2026-09-22" TargetMode="External"/><Relationship Id="rId13" Type="http://schemas.openxmlformats.org/officeDocument/2006/relationships/hyperlink" Target="https://finance.sina.com.cn/roll/2026-09-22/doc-inissuii2079386.shtml" TargetMode="External"/><Relationship Id="rId14" Type="http://schemas.openxmlformats.org/officeDocument/2006/relationships/hyperlink" Target="https://news.qq.com/rain/a/20260922A05CQ600" TargetMode="External"/><Relationship Id="rId15" Type="http://schemas.openxmlformats.org/officeDocument/2006/relationships/hyperlink" Target="https://q.stock.sohu.com/cn/002285/lshq.shtml" TargetMode="External"/><Relationship Id="rId16" Type="http://schemas.openxmlformats.org/officeDocument/2006/relationships/hyperlink" Target="https://www.sohu.com/a/1079474529_115377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2026年9月23日 A股模式股盘前操作策略</dc:title>
  <dc:subject>基于2026年9月22日完整收盘的私有体系盘前执行报告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