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2026年9月24日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基于2026年9月23日完整收盘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64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1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6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analysis_date：2026-09-23 17:31（北京时间）</w:t>
              <w:br/>
              <w:t>latest_market_date：2026-09-23</w:t>
              <w:br/>
              <w:t>target_trade_date：2026-09-24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9月23日已完整收盘；9月24日为下一正式交易日。9月25—27日中秋休市。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TIGHT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9月23日跌停显著扩张：来源分别报14只与16只非ST样本，前一日严格口径为4只，尚未构成连续两日≥10的强制空仓；但高度由6板降至4板、26股炸板，必须收缩。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CAUTION｜置信度：中高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中周期：修复末端、转弱观察；小周期：高潮后的分歧退潮初段。51股涨停与PCB回流构成支持，但超3500股下跌、连板晋级率37.5%、高位全部断板构成主要反证。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 000910</w:t>
              <w:br/>
              <w:t>有望成为狭义空接龙＋控怪龙/空拐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模式T日为9月23日；H4=C4并首次成为有效并列新空间。9月24日为T+1第一次常规验证/介入窗。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只做有效分离后的主动确认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大亚须风险不恶化、竞价与分时不剧震、换手后主动封板/回封、相对新华文轩形成有效分离，且PCB后排同步；只因高开或秒板不足以确认。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按TIGHT已有降档原则；不新造百分比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母规则只编码“缩减候选与仓位、只做最强且证据完整者”，未给CAUTION额外量化映射。任一条件缺失时主动新仓为0。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Hmax=4｜X=7｜C=4｜Y=6*</w:t>
              <w:br/>
              <w:t>核心H：大亚4、新华文轩4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X≠C≠Y。大亚H4≤C4且H4&lt;Y6；新华文轩客观计入Hmax，但按公告空接规则特殊排除。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PCB：大亚圣象预选</w:t>
              <w:br/>
              <w:t>VNA仪表：优利德预选</w:t>
              <w:br/>
              <w:t>地产、传媒：无已确认主带队票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PCB有H4/H2/H1但缺H3；地产有H3/H1但缺H2；传媒前排晋级与后排多股跌停并存。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仅大亚圣象一个第一次验证对象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有效分离、主动确认、板块联动与风险条件必须同时满足；并列不分离、公告票主导空间、PCB后排退潮或闸门转CLOSED时不执行。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总原则：先风险、再情绪、后身份与买点。候选身份不是买入指令；没有有效分离与主动盘口确认，就没有交易。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13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09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上交所、深交所公告均显示9月25—27日中秋休市，9月28日起开市；因此9月23日为已完成正式交易日，9月24日为下一正式交易日。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涨停与连板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财联社/每日经济新闻：51股涨停；财联社统计12只连板、9只三板以上，上一交易日24只连板，晋级率37.5%；芦苇复盘封板时间与梯队另行逐票核验。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跌停口径差异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每日经济新闻/新浪报全市场14只跌停；芦苇复盘“今日跌停”页面收录16只非ST样本。来源口径/快照矛盾原样保留，不择有利口径；两口径均达到单日≥10预警。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连续阈值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芦苇复盘9月22日为4只，9月23日为16只样本；只有9月23日达到≥10，未满足连续两个正式交易日≥10，故不触发强制空仓，但严禁升级OPEN。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沪指收3936.52点、-0.39%；深成指-0.64%，创业板指-0.60%；两市成交约1.7831万亿元，较前日减少约3706亿元。不同复盘页对指数与成交摘要有差异，以收盘综述为主并保留口径说明。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华瓷股份、内蒙新华、南华生物全部断板但收红；闽东电力一字跌停，锡华科技等中位股跌停，传媒后排龙版传媒、中视传媒、龙头股份、华媒控股进入跌停样本。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TIGHT：未触发连续两日强制空仓，但单日跌停扩张、高度6→4、26股炸板与超3500股下跌构成高位/中位共振预警。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pageBreakBefore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04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79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阶段假设、证据与边界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修复末端、转弱观察。指数缩量回落，前期修复尚未完全证伪，但广度和高度同步转弱，需防再次退潮。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高潮后的分歧退潮初段。前一日H6/H5/H4全部断板，连板高度压缩至H4；新空间出现但并列，尚未完成强者确认。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三大指数收跌、成交显著缩量；未出现指数与短线情绪的共同转强。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51股涨停、PCB与VNA分支活跃；但12只连板、晋级率37.5%、26股炸板、超3500股下跌，赚钱效应集中且容错下降。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指数、上涨家数与连板高度同向转弱；PCB局部回流与整体风险扩张背离，不能用单一热点解除P0限制。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大亚圣象/新华文轩晋级H4；PCB有澳弘H2及多只首板；华瓷等断板后仍收红，未出现全部高标A杀。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跌停口径14/16、闽东一字跌停、传媒多只跌停、26股炸板、三只旧高标全部断板。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CAUTION：只允许缩减到证据最完整的一个主体候选并提高确认要求；不提高仓位、不放宽身份和买点。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原文节次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E1第2—5、16—17、21、23—25节；E1缺图及第12/13节正文缺口继续标“情绪依据不足/需回查原文”。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/>
        </w:trPr>
        <w:tc>
          <w:tcPr>
            <w:tcW w:type="dxa" w:w="118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400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结构/事件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第二次连续压缩，并列锚定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T+1华瓷分离，锡华断板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H=Y摸顶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新华文轩/大亚圣象4板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旧H6/H5/H4失效，新H4并列；公告票与常规票分层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36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36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41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计算、来源与边界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新华文轩、大亚圣象均为真实4连板。新华文轩虽为公告特殊票，仍保留在客观Hmax。澳弘电子“9天7板2连板”严格H=2，N+不累计。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有效空间主干没有发生P0规定的T+1全淘汰或两轮重置事件；不因当日Hmax降至4而机械改写X。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C=clamp(X−3,3,5)=4；未触发从3板重算。9月23日盘中先手仍用9月22日收盘C=4快照。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沿用最近验证值；连续两个有效A/B来源链仍待完整恢复。华瓷H6次日断板不是A/B，不得用其失败重算Y。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大亚圣象4；新华文轩4（公告特殊）；新华传媒/泰慕士/华远控股/南威软件/奥佳华/我爱我家/华丽家族均3；澳弘/天威视讯/江淮汽车均2；华瓷等断板H归零。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强制标记：X≠C≠Y。大亚圣象H4=C4、H4&lt;Y6；新华文轩H4虽等于C，但公告票过滤先于C资格。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信号/对象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66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是否有效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连续性与处理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66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沿用Y=6；源链待补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普通中高位失败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H4/H3</w:t>
            </w:r>
          </w:p>
        </w:tc>
        <w:tc>
          <w:tcPr>
            <w:tcW w:type="dxa" w:w="266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非同一有效T日全淘汰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不纳入A/B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华瓷压突未过7板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H6</w:t>
            </w:r>
          </w:p>
        </w:tc>
        <w:tc>
          <w:tcPr>
            <w:tcW w:type="dxa" w:w="266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压突失败本身不是A/B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Y维持6*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大亚/新华文轩新H4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尚未失败</w:t>
            </w:r>
          </w:p>
        </w:tc>
        <w:tc>
          <w:tcPr>
            <w:tcW w:type="dxa" w:w="266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T日预选；新华文轩公告排除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待9月24结果后再判A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4 2026年9月24日第一次可操作或验证对象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唯一主体对象：大亚圣象。它在9月23日首次成为有效并列新空间，H4=C4，通过公告/起手连续一字过滤；9月24日进入T+1第一次常规验证。只有完成有效分离、主动盘口确认与PCB联动，才从“有望成为”转为预期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身份层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时间层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操作层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证伪层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 000910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有望成为狭义空接龙＋控怪龙/空拐；压突为屋顶下H4&lt;Y6。空中飘证据不足。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模式T=2026-09-23；latest=T日；target 9月24=T+1；首次窗口有效。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只在TIGHT未恶化、相对新华文轩有效分离、换手承接后主动封板/回封、PCB后排同步时继续核验。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竞价剧震、秒板无成交机会、炸板无回封、新华文轩主导空间、PCB后排退潮、跌停继续扩张或闸门关闭。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逐票完整字段记录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184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838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固定字段</w:t>
            </w:r>
          </w:p>
        </w:tc>
      </w:tr>
      <w:tr>
        <w:trPr>
          <w:cantSplit/>
        </w:trPr>
        <w:tc>
          <w:tcPr>
            <w:tcW w:type="dxa" w:w="184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 000910</w:t>
            </w:r>
          </w:p>
        </w:tc>
        <w:tc>
          <w:tcPr>
            <w:tcW w:type="dxa" w:w="83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严格PCB，宽口径建材/地产链；严格H4，Hmax4，X7，C4，Y6*。公告/一字/停复牌/被动空间：未见公告驱动、非起手连续一字、未停牌、非被动空间。首次成为新空间：是，9月23日与新华文轩并列；通过C：是。身份预期：有望成为狭义空接龙＋控怪龙/空拐；空中飘依据不足。模式T日：9月23日；target阶段：T+1；首次窗口：有效。9月23日超级先手：否（09:30封板、并列且不在13:30—14:35唯一空间条件）。9月24日常规价值：条件验证。成立依据：旧H6/H5/H4全部断板、H4=C、连续压缩、PCB多层联动。排除理由：若并列不分离或板块不跟即排除。触发：换手承接、分时强于同组、主动封板/回封。绝对禁止：CLOSED/UNKNOWN、不可成交、低吸猜板、只因高开追入。失效：H4身份被公告票压制、炸板无回封、同组反卡、后排批量走弱。数据缺口：竞价撤单、逐笔、开板次数、回封量、分时均价。无持仓：条件完整才按P0 TIGHT降档核验。已有持仓：守前收7.58、均价与回封，板块退潮优先风险退出。</w:t>
            </w:r>
          </w:p>
        </w:tc>
      </w:tr>
      <w:tr>
        <w:trPr>
          <w:cantSplit/>
        </w:trPr>
        <w:tc>
          <w:tcPr>
            <w:tcW w:type="dxa" w:w="184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 601811</w:t>
            </w:r>
          </w:p>
        </w:tc>
        <w:tc>
          <w:tcPr>
            <w:tcW w:type="dxa" w:w="83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出版传媒＋收购四川民族出版社100%股权；严格H4，Hmax4，X7，C4，Y6*。公告/一字/停复牌/被动空间：9月21日晚披露收购公告，9月22日一字，9月23日09:30涨停并换手约2.1%，未停牌；客观空间保留但常规C资格特殊排除。首次成为新空间：客观是；通过C：数值H=C，但公告过滤不通过。身份预期：暂不得写常规广义空接；公告空接龙尚未成立。时间：9月23日仅第一个可核验高位换手日；若9月24再完成第二次有效换手，收盘后才可确认资格，下一正式交易日9月28日进入验证。9月23日超级先手：否（并列、09:30）。9月24日常规价值：观察，不新开。触发：只记录第二次有效换手证据；绝对禁止：把单日开板/换手写成资格恢复。失效：继续纯一字、虚假撤单、公告风险升级、板块后排退潮。无持仓：不参与常规广义空接。已有持仓：按公告风险、前收18.50、开板承接与流动性管理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9月23日已结束超级先手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新华文轩与大亚均09:30封H4、并列最高；不满足13:30—14:35唯一空间、主动封板/回封条件。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9月23日已结束空接断板龙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虽旧高标断板，但下方为同层并列H4，未形成唯一隐形空间逐级上位；不得事后倒推。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9月24日常规节点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T+1第一次验证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验证有望成为狭义空接龙＋控怪龙/空拐；只在有效分离、弱转强/换手确认、PCB联动与TIGHT合规时执行。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9月24日公告资格观察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不是常规介入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只记录是否完成第二个连续高位有效换手日；即使完成，也要到下一正式交易日9月28日才进入公告空接验证窗。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9月24日待触发超级先手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H3梯队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条件池，不是盘前候选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若两只H4均明显失效，使用9月23日C=4快照；13:30—14:35只核验H3梯队中唯一晋级H4、主动封板/回封、振幅与板块合规者。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H3条件池：新华传媒、泰慕士、华远控股、南威软件、奥佳华、我爱我家、华丽家族。公告/一字票新华传媒、股转公告票华远控股、奥佳华均先做特殊过滤；华丽家族14:56封板不满足先手时段。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6 T日“有望成为”预选池与逐票淘汰原因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股票/梯队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302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T日预选结论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 000910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有望成为狭义空接龙＋控怪龙/空拐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旧H6/H5/H4全部失效后首次成为新空间；H=C；非公告/起手连续一字；PCB有H2/H1联动。T+1仍须有效分离。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 601811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客观新空间；常规资格特殊排除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收购公告驱动，9月22日一字、9月23日仅首个高位换手日；未完成连续两日有效换手。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H3七票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不进入盘前常规池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不是9月23日新空间；公告/一字与股转票需先过滤。仅在9月24盘中上方全失效后按超级先手条件逐级筛选。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H2三票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不进入新空间池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澳弘为N+结构严格H2，天威视讯一字，江淮汽车14:41封板；均非首次新空间。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华瓷/内蒙新华/南华生物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旧模式移入历史/持仓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华瓷未形成H7&gt;Y6，压突突破证伪；三只均断板H归零，不恢复首次窗口。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锡华科技等跌停中位股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风险样本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中位负反馈扩大，只作风险与历史账本，不创造空转趋买点。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213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8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大亚圣象有望成为狭义空接龙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T=9月23日；H4=C4；target为T+1。新华文轩公告特殊排除。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大亚圣象有望成为控怪龙/空拐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原最高H6压缩至H4；原高标≤6，断层压缩进入候选。多个并列锚点不等于确认，T+1仍看分离。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证据不足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身份、T日先手和T+1常规接力分开；9月23日先手未成立，不能由次日涨跌倒推。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新华文轩未成立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连续两个正式交易日有效换手尚缺第二日；无统一换手比例，9月24只记录可核验开板、成交与非纯一字证据。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无正式候选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上方两只H4同层，不是“被动空间/擦板票与下方至少断两层”的完整结构。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9月23日H4并列，未出现上方被动空间明显失效＋下方唯一隐形空间逐级上位。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无突破候选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大亚/新华文轩H4&lt;Y6均在屋顶下；华瓷H6未突破Y，失败不更新Y。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暂无新节点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若大亚9月24客观缩量一字且成功，是否形成9月28 T+2补救须收盘后按全部前提另判；个人错过不构成补救。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指数与个股前置条件不足，不从反包结果倒推。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华瓷等仅历史跟踪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只解决断板后跟踪对象，不直接给买点；需等待独立弱转强/首阴等工具。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无盘前确认对象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断板并不自动产生首阴买点；风险与身份、工具条件均需完整。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大亚T+1工具待盘中确认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须以9月23日缩量秒板建立基准，再结合竞价、量能、均价、回封和PCB联动；只因高开不足。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大亚/新华文轩必须分层处理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同层原则只认一个有效胜出者；公告票即使更强也不自动恢复常规资格。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A 核心候选板块验证表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19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16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首板/2板/3板及以上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带动证据/分支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  <w:br/>
              <w:t>严格：PCB</w:t>
              <w:br/>
              <w:t>宽：PCB/铜箔/电子材料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严格收盘封板跟风4只：澳弘电子H2、依顿电子/中一科技/江南新材H1。宽口径再含安洁科技、沃格光电、胜利精密3只，共7只。触板炸板与仅跟涨名单不混计。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严格H4+H2+H1，缺H3→不完整；宽口径同样缺H3。N+澳弘严格H=2。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大亚09:30封H4；PCB随后有中一10:34、依顿10:18、江南13:02封板，澳弘13:51回封，存在时序联动；撤单/开板次数仍待核。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最高与最早有效封板指向大亚；辨识度更偏澳弘。大亚为主带队预选，target须验证后排同步。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  <w:br/>
              <w:t>严格：出版传媒</w:t>
              <w:br/>
              <w:t>宽：传媒/M&amp;A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严格收盘封板跟风1只：新华传媒H3。宽M&amp;A再含华远控股、奥佳华H3，共3只。传媒跌停样本含龙版传媒、中视传媒、龙头股份、华媒控股。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严格H4+H3，缺H1/H2→不完整；宽口径多只H3但仍缺H1/H2。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新华文轩09:30封板；新华传媒09:25一字在前，不能倒推由其带动。前排晋级与后排多股跌停并存。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公告票特殊排除；严格分支带动未完成，传媒本分支无已确认带队票。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pageBreakBefore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  <w:cantSplit/>
        </w:trPr>
        <w:tc>
          <w:tcPr>
            <w:tcW w:type="dxa" w:w="1469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51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最高高度票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87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封单最稳票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主带队票</w:t>
            </w:r>
          </w:p>
        </w:tc>
        <w:tc>
          <w:tcPr>
            <w:tcW w:type="dxa" w:w="227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跟风/梯队/次日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大亚圣象H4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大亚09:30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盘后L1：依顿约1.6亿、大亚约7077万；稳定性待逐笔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澳弘电子9天7板、严格H2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严格跟风4，宽7；H4/H2/H1、缺H3；9月24待验证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房地产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华远/我爱我家/华丽H3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华远09:30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待确认；华丽14:56晚封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我爱我家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本分支无已确认带队票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H3三只，H1福建水泥/通用电梯；缺H2，早盘爆发后回落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VNA/仪器仪表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优利德/普源/东方中科H1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优利德11:04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优利德盘后L1约8767万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优利德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优利德预选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收盘封板3只；只有首板，梯队不完整；9月24待验证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传媒/M&amp;A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新华文轩H4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新华传媒09:25一字（特殊）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新华传媒一字，撤单待核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本分支无已确认带队票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严格跟风1；缺H1/H2；多只传媒跌停，前后排背离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云计算/数据中心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南威软件H3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天威视讯09:25一字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天威视讯一字特殊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南威软件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南威软件预选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H3+H2+H1（申科/集泰等交叉）；宽口径完整，严格细分待确认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9月23日真实表现</w:t>
            </w:r>
          </w:p>
        </w:tc>
        <w:tc>
          <w:tcPr>
            <w:tcW w:type="dxa" w:w="247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27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未晋级7板，收28.26、+6.76%，断板H归零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“华字辈”整体明显降温，严格电子材料未形成其独立带动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压突未突破；原情绪带队失败但承接尚在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移入历史/持仓管理，不恢复首次窗口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断板但收红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新华文轩H4、新华传媒H3晋级；传媒后排多只跌停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原带队未继续涨停→失败；前后排背离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传媒领导重新确认，不以个股抱团等同延续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断板但收红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医药未成为当日主线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未继续涨停→带队失败、情绪转弱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移入历史/空转趋观察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09:30封4板，收7.58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澳弘H2及依顿/中一/江南等H1同步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继续涨停且后排强化→带队预选有效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9月24验证是否成为唯一有效空间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09:30封4板，收18.50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新华传媒H3晋级，但传媒多只跌停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个股/公告抱团，板块延续不足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只作公告空接换手账本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博通集成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3进4失败，H归零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国产芯片多只首板但缺中位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高度预选失败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移入历史，不恢复首次窗口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固定映射：继续涨停→带队有效、情绪延续；高开低走→带队失败、情绪转弱；低开闷杀→带队证伪、可能退潮。个股独涨而后排退潮，记“个股抱团/板块延续不足”。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55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3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先核非ST跌停、旧A杀股与TIGHT是否恶化；比较大亚、新华文轩竞价封单/撤单；同步看澳弘、依顿、中一、江南及VNA分支。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闸门转CLOSED/UNKNOWN、跌停继续扩散、PCB后排集体低预期：主动新仓为0。新华文轩一字强不等于大亚可买。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大亚只在竞价与开盘承接符合前一日缩量秒板基准、相对新华文轩形成有效分离、换手后主动封板/回封时继续核验。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并列互卡、秒板不可成交、仅高开无承接、炸板无回封或板块不跟：不执行；不主观低吸或半路猜板。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确认大亚分时均价、量能、回封稳定性与PCB后排是否同步；若新华文轩开板，仅记录其第二日有效换手证据。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大亚被同组反卡、PCB高开低走或跌停扩散：取消T+1权限。新华文轩单日再换手也不提前写成公告空接买点。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若两只H4均明显失效，才从H3梯队逐级筛选；仅核验唯一H4、主动封板/回封、10cm振幅≤9.99个百分点且分支联动者。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上方仍有效、H3未唯一分离、公告/一字过滤不通过、分时剧震或风险恶化：放弃全部超级先手。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只处理已有持仓风险；记录公告票换手、带队票与后排收盘状态。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任何14:35后首次出现的超级先手结构不新增；不以尾盘偷板补写盘中买点。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无持仓动作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超预期/唯一分离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跌停快速回到个位数且旧A杀企稳；大亚换手后晋级H5、相对公告票形成有效空间，PCB H2/H1同步；新华文轩完成可核验换手但不主导。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只对大亚按T+1常规节点继续核验，P0 TIGHT降档；全部条件齐备方可执行，不预埋。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守均价、前收7.58与回封；板块强化时持有，仍不因一字或加速无条件追加。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符合预期/并列分化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大亚与新华文轩一强一弱但空间代表性仍有争议；PCB前排强、后排一般；跌停未继续扩散。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继续观察，不把高开、秒板或公告票断板自动当分离买点。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持强汰弱；若个股强而后排弱，降级为个股抱团管理。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低预期/退潮扩散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跌停连续第二日≥10或进一步扩张；两只H4均断板；PCB/VNA高开低走，旧高标出现A杀。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闸门转CLOSED时主动新仓为0；取消大亚与所有超级先手。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优先利用流动性减仓/退出，不等待尾盘修复，不以冰点标签抄底。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pageBreakBefore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38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95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低预期/失效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换手晋级H5、有效分离、PCB后排同步，且风险不恶化。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个股晋级但公告票更强或后排分化，只观察。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竞价剧震、炸板无回封、同组反卡、PCB集体转弱或闸门关闭。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完成第二个连续高位有效换手日，仅记录资格恢复证据。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换手不充分或继续一字，仍为特殊观察。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公告风险升级、开板无承接、传媒后排继续跌停；不得转为常规候选。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H3条件池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上方全失效后，13:30—14:35唯一H4主动封板/回封并带动分支。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上方未全失效或多票互卡，仅观察。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振幅超限、14:35后才分离、公告/一字过滤失败、板块不跟。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16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有望成为狭义空接龙＋控怪龙/空拐，T=9月23日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 T+1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只在分离、弱转强/换手、主动封板或回封、PCB联动和风险合规时执行。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公告空接观察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9月23第一个高位换手日；9月24观察第二日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常规窗口无效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若9月24收盘确认第二次有效换手，下一正式交易日9月28才进入公告空接验证。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广义空接/控怪T=9月18日；压突摸Y=9月22日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9月23断板，H归零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均结束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压突H&gt;Y未成立；只作持仓/空转趋历史跟踪。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广义空接/控怪T=9月18日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9月23跌停风险样本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证伪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不因超跌或冰点恢复身份。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内蒙新华/南华生物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带队预选T=9月21日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9月23均断板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非主体窗口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带队失败；若趋势未破只进入空转趋观察，不直接给买点。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博通集成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H3高度预选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9月23断板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3进4失败，移入历史。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H3七票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9月23次高梯队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9月24盘中条件观察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无盘前常规窗口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仅上方全失效且唯一H4超级先手结构完整时核验；特殊票先过滤。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7"/>
        </w:rPr>
        <w:t>T+2/T+3/T+4：若大亚9月24成功但客观无成交机会，9月28才可在全部P0前提满足时评估T+2不同题材分支龙头；因主观恐高、犹豫或未执行不得补救。4K/6K参数继续标“需回查原文/体系依据不足”。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竞价封单/撤单、逐笔、实际开板次数、回封量、分时均价与封单稳定性：待盘中确认；不得用收盘结果倒推买点。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9月23日跌停存在14只与16只差异；两来源均达到单日预警，但9月22日严格口径为4只，尚未触发连续两日强制空仓。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新华文轩9月23日换手约2.1%只作为“首个高位换手日”证据；老师未给统一换手百分比阈值，9月24必须核验开板、成交与非纯一字，不以百分比单项确认。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大亚圣象9月23日09:30封板、全天换手约5.5%；其盘中开板次数、回封性质和分时均价仍待更细盘口源确认。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X=7为维护账本值；没有P0规定的全淘汰或重置事件，不因Hmax降至4机械下修。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Y=6沿用最近验证值；历史两个连续有效A/B来源链未完整恢复，华瓷压突失败与普通炸板均不能重算。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PCB严格梯队H4/H2/H1缺H3；地产严格梯队H3/H1缺H2；传媒前排与后排跌停背离。宽口径完整不得反向创造主体身份。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P0仅编码TIGHT“缩减候选与仓位、只做最强且证据完整者”，未给CAUTION额外量化仓位映射；不引用E1历史比例。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4K/6K量价、时点和失效参数：需回查原文/体系依据不足，不从案例补造。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情绪判断引用E1仅作辅助许可；不创造身份、买点、窗口、Hmax/X/C/Y算法或仓位。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主要公开数据来源｜复核时间 2026年9月23日17时31分（北京时间）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9月25—27日休市、9月28日起照常开市：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上交所2026年中秋休市公告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交易日交叉核验：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深交所2026年中秋休市通知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51涨停、12连板、晋级率37.5%、高度4板与板块反馈：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51涨停、14跌停与连板名单：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每日经济新闻涨跌停统计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严格连板、封板时间、换手、题材与盘后封单摘要：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芦苇复盘连板梯队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16只非ST样本及风险名单：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芦苇复盘跌停页面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闽东电力、川大智胜等负反馈与成交额摘要：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新浪高位风险报道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收购四川民族出版社及公告票过滤依据：</w:t>
      </w:r>
      <w:hyperlink r:id="rId16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新华文轩收购与异动公告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18.50元、盘中换手与封单：</w:t>
      </w:r>
      <w:hyperlink r:id="rId17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新华文轩4板数据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7.58元、盘中换手与封单：</w:t>
      </w:r>
      <w:hyperlink r:id="rId18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大亚圣象4板数据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数据纪律：严格H只计连续涨停，N+反包不累计；同题材跟风按“收盘封住/触板炸板/明显跟涨未板”分层。公告票、起手连续一字、停牌和被动空间均单独标记。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风险提示：仅用于整理用户私有交易理论，不构成投资建议，不承诺收益。高位股票可能快速跌停、无法成交或停牌；所有动作以实时风险总闸门、客观触发与可成交性为前提。</w:t>
      </w:r>
    </w:p>
    <w:sectPr w:rsidR="00FC693F" w:rsidRPr="0006063C" w:rsidSect="00034616">
      <w:footerReference w:type="default" r:id="rId19"/>
      <w:pgSz w:w="12240" w:h="15840"/>
      <w:pgMar w:top="778" w:right="864" w:bottom="77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2026年9月24日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60915_10832273.shtml" TargetMode="External"/><Relationship Id="rId10" Type="http://schemas.openxmlformats.org/officeDocument/2006/relationships/hyperlink" Target="https://www.szse.cn/www/disclosure/notice/general/t20260917_622911.html" TargetMode="External"/><Relationship Id="rId11" Type="http://schemas.openxmlformats.org/officeDocument/2006/relationships/hyperlink" Target="https://finance.eastmoney.com/a/202609233882455488.html" TargetMode="External"/><Relationship Id="rId12" Type="http://schemas.openxmlformats.org/officeDocument/2006/relationships/hyperlink" Target="https://finance.sina.com.cn/roll/2026-09-23/doc-inisvcqf1200264.shtml" TargetMode="External"/><Relationship Id="rId13" Type="http://schemas.openxmlformats.org/officeDocument/2006/relationships/hyperlink" Target="https://www.lwwhy.com/review/limitup_column/2026-09-23" TargetMode="External"/><Relationship Id="rId14" Type="http://schemas.openxmlformats.org/officeDocument/2006/relationships/hyperlink" Target="https://www.lwwhy.com/review/limitdown/2026-09-23" TargetMode="External"/><Relationship Id="rId15" Type="http://schemas.openxmlformats.org/officeDocument/2006/relationships/hyperlink" Target="https://finance.sina.com.cn/roll/2026-09-23/doc-inisuxhc8502717.shtml" TargetMode="External"/><Relationship Id="rId16" Type="http://schemas.openxmlformats.org/officeDocument/2006/relationships/hyperlink" Target="https://finance.sina.com.cn/jjxw/2026-09-22/doc-inisrxcm7214386.shtml" TargetMode="External"/><Relationship Id="rId17" Type="http://schemas.openxmlformats.org/officeDocument/2006/relationships/hyperlink" Target="https://www.stcn.com/article/detail/4196055.html" TargetMode="External"/><Relationship Id="rId18" Type="http://schemas.openxmlformats.org/officeDocument/2006/relationships/hyperlink" Target="https://finance.eastmoney.com/a/202609233882248677.html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2026年9月24日 A股模式股盘前操作策略</dc:title>
  <dc:subject>基于2026年9月23日完整收盘的私有体系盘前执行报告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