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2026年9月28日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基于2026年9月24日完整收盘｜中秋节后首个交易日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64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1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6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analysis_date：2026-09-24 17:28（北京时间）</w:t>
              <w:br/>
              <w:t>latest_market_date：2026-09-24</w:t>
              <w:br/>
              <w:t>target_trade_date：2026-09-28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上交所公告：9月25—27日休市，9月28日起照常开市。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9月23日跌停14/16只、9月24日15/16只，两日均≥10，触发非ST连续两日强制空仓。禁止主动新开仓，只做观察与持仓风险管理。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AVOID｜置信度：高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中周期：转弱/退潮确认；小周期：分歧退潮扩散。指数普跌、超4300股下跌、成交缩量、高位人气股与中后排负反馈共振。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无新开仓候选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大亚圣象T+1断板，前一有效锚定梯队全淘汰；H4三票均高于新C3，且泰慕士/奥佳华/新华传媒均带公告或一字特殊属性。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首次验证对象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 601811｜仅资格观察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9月23、24连续两日出现高位开板/成交的非纯一字证据，可核验公告空接资格恢复；但H5&gt;C3且风险CLOSED，只能观察，不能转成买入指令。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本报告不提供主动新开仓触发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风险闸门恢复前，任何广义空接、公告空接、压突、超级先手、弱转强均被否决；节后先核跌停是否回个位数及A杀是否批量企稳。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主动新仓为0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CLOSED仅允许已有持仓风险管理。E1不产生仓位数值，也不能解除P0限制。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Hmax=5｜X=6｜C=3｜Y=6*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核心H：新华文轩5；泰慕士/奥佳华/新华传媒4；天威视讯3。X≠C≠Y。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福建地图：福建水泥预选</w:t>
              <w:br/>
              <w:t>VNA：东方中科预选</w:t>
              <w:br/>
              <w:t>出版：无已确认主带队票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主流分支梯队均不完整或存在公告/一字与后排负反馈，不能反向创造模式身份。</w:t>
            </w:r>
          </w:p>
        </w:tc>
      </w:tr>
      <w:tr>
        <w:trPr>
          <w:cantSplit/>
        </w:trPr>
        <w:tc>
          <w:tcPr>
            <w:tcW w:type="dxa" w:w="164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91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9月28日无主动新开仓</w:t>
            </w:r>
          </w:p>
        </w:tc>
        <w:tc>
          <w:tcPr>
            <w:tcW w:type="dxa" w:w="466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先等风险闸门解除；即便个股晋级，也只作身份与资格验证。风险、板块、盘口任一项不通过均维持空仓。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硬结论：连续两个正式交易日非ST跌停≥10，P0风险总闸门=CLOSED；任何模式身份都不能越过强制空仓。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13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09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上交所2026年中秋节安排：9月25日（周五）至9月27日（周日）休市，9月28日（周一）起照常开市。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9月24日市场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52股涨停、13只连板、三板及以上5只；连板晋级率41.67%。指数为沪指-1.22%、深成指-2.34%、创业板指-2.68%；两市成交约1.65万亿元，较前日缩量1116亿元；超4300股下跌。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跌停口径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9月23日公开来源分别为14只与16只；9月24日公开来源分别为15只与16只。不同来源口径原样保留，不择有利口径；四个数字均≥10。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9月23日、9月24日连续两个正式交易日均达到非ST跌停≥10，满足P0强制空仓；恢复须跌停回到个位数且近期连续A杀标的批量企稳反抽。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超声电子、国芳集团、哈药股份等高位人气股跌停；华媒控股2连跌停，华丽家族跌停，华远控股跌超9%；大亚圣象5板失败收+0.26%。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CLOSED：主动新开仓为0。即使个股H&gt;Y、完成公告换手或出现弱转强，也不得执行。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04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79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阶段假设、证据与边界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转弱/退潮确认。指数、市场广度、成交额与高位负反馈同向走弱。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分歧退潮扩散。连板晋级率回升只反映局部抱团，未抵消跌停连续扩张与4300股下跌。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指数/短线效应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三大指数显著收跌、量能收缩；52涨停、13连板仅属局部赚钱效应，高位与中后排跌停扩散，容错明显下降。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指数、广度与高位负反馈共振转弱；福建/VNA逆势活跃属于局部背离，不能解除硬风险。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新华文轩H5、三只H4晋级；福建与VNA有分支扩散。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连续两日跌停≥10、超4300股下跌、PCB转弱、旧带队大亚断板、高位人气股跌停。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AVOID：回避主动新开仓，只保留观察、资格验证、历史账本和已有持仓风险退出。依据E1第2—5、16—17、21、23—25节。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9月28日跌停是否恢复个位数、近期A杀是否批量企稳、节日期间公告与停复牌、竞价封单撤单。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/>
        </w:trPr>
        <w:tc>
          <w:tcPr>
            <w:tcW w:type="dxa" w:w="118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400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结构/事件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H=Y摸顶，次日未突破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大亚/新华文轩4板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大亚为有效锚点；新华文轩公告特殊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大亚T+1断板，锚定梯队全淘汰；X回落到华瓷实际走出的6板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36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36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41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计算、来源与边界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新华文轩真实5连板，保留公告特殊标记；其公告/一字属性不影响客观Hmax计数。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9月23日有效常规锚点大亚圣象在9月24日T+1晋级失败；按首次全淘汰规则，X下压到上一支有效空接龙华瓷股份实际走出的6板高度。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C=clamp(X−3,3,5)=3，9月24日收盘后生效。9月24日盘中仍使用9月23日收盘C=4快照。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沿用最近验证值；9月24日大亚T+1失败可作为新的A信号（失败高度5），但尚缺与前一有效A/B连续性完整证据，不单次重算Y。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新华文轩5；泰慕士/奥佳华/新华传媒4；天威视讯3；八只2板；大亚断板H归零；内蒙新华为7天6板反包，严格H不累计。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强制标记：X≠C≠Y。新华文轩H5&gt;C3；三只H4&gt;C3；天威视讯H3=C3，但它不是9月24日首次新空间/隐形空间。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信号/对象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连续性与处理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沿用Y=6*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源链待补，不从结果猜测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华瓷压突未过7板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H6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不是A/B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压突失败本身不更新Y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9月23日有效锚点大亚T+1失败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H5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A信号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记为新信号；未确认与前一A/B连续，不据此改Y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4 2026年9月28日第一次可操作或验证对象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无新开仓候选。唯一“第一次验证”只指新华文轩公告空接资格恢复后的规则核验，不等于介入窗口；CLOSED与H5&gt;C3双重否决主动交易。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身份层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时间层</w:t>
            </w:r>
          </w:p>
        </w:tc>
        <w:tc>
          <w:tcPr>
            <w:tcW w:type="dxa" w:w="273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操作层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证伪层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 601811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公告空接资格恢复验证；不取得常规广义空接资格。压突为屋顶下H5&lt;Y6。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9月24日为连续第二个高位非纯一字换手证据日；9月28日为资格验证日，不是买入承诺。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仅观察竞价、开板承接、公告风险与出版后排；风险CLOSED时无主动新仓。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H5&gt;C3、继续公告抱团且后排走弱、开板无承接、监管/公告风险升级、跌停未回个位数。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逐票完整字段记录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固定字段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 601811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出版传媒＋收购民族出版社；严格H5，Hmax5，X6，C3，Y6*。公告/一字/停复牌/被动空间：公告驱动、9月22日一字、9月23/24均有T字或开板成交，未停牌，客观空间但常规过滤排除。首次成为新空间：9月24日客观唯一H5；通过C：否，H5&gt;C3。身份预期：公告空接资格恢复验证，常规广义空接不成立。模式T日：资格确认日暂记9月24；target阶段：9月28首次资格验证；首次交易窗口：被CLOSED否决。9月24超级先手：否。9月28常规价值：只观察。成立依据：连续两日高位开板/成交、非纯一字；排除理由：风险CLOSED且H&gt;C。触发：仅记录公告空接验证事实，不形成买点。绝对禁止：主动新开、低吸、主观半路。失效：公告风险升级、开板无承接、出版后排继续退潮。数据缺口：竞价撤单、逐笔、封单变化。无持仓：空仓观察。已有持仓：按公告风险、前收与流动性优先管理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泰慕士 001234 / 奥佳华 002614 / 新华传媒 600825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股权变更/战略股东/重大资产重组等公告主题；严格H4，Hmax5，X6，C3，Y6*。三票均H&gt;C，不通过广义空接C；新华传媒、泰慕士为一字或缩量特殊票，奥佳华开盘秒板。9月24虽为H4次高梯队，但未取得9月28第一次常规介入资格。target阶段：只观察晋级与负反馈，不执行。绝对禁止：把公告加速或一字强度写成广义空接确认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天威视讯 002238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题材：数字文化/广电；严格H3，Hmax5，X6，C3，Y6*。H=C，但不是9月24首次新空间或隐形空间，上方H5/H4结构仍在；不进入广义空接T日预选。9月28仅在上方全部明显失效、风险闸门已解除且13:30—14:35形成唯一H4主动封板/回封时，才可重新核验超级先手；本报告不提前授权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9月24日已结束超级先手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风险否决/结构不成立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大亚早盘开板后未回封，收+0.26%；H4三票多为公告/一字或秒板，未在13:30—14:35形成合规唯一主动空间。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9月24日已结束空接断板龙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上方公告高标仍强，下方不存在至少断两层且唯一逐级上位的完整动态结构。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9月28日常规节点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无主动新开仓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CLOSED优先否决；H5/H4均不通过C3，H3天威不是首次新空间。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9月28日公告资格观察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只验证资格，不执行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核验连续两日有效换手证据、公告风险和出版后排；H&gt;C与CLOSED不变。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9月28日待触发超级先手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原则上关闭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只有闸门先解除才可再核验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若跌停回个位数且A杀批量企稳，再用9月24收盘C=3快照；仍需13:30—14:35唯一空间、主动封板/回封、振幅与板块条件全部满足。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6 T日“有望成为”预选池与逐票淘汰原因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股票/梯队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302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T日预选结论</w:t>
            </w:r>
          </w:p>
        </w:tc>
        <w:tc>
          <w:tcPr>
            <w:tcW w:type="dxa" w:w="38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 601811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公告空接资格验证；非新开仓候选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连续两日高位非纯一字证据，但H&gt;C且风险CLOSED；公告例外只恢复筛选资格，不豁免C和风险。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泰慕士/奥佳华/新华传媒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不进入广义空接池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均H&gt;C；公告/股权/重组与一字或秒板属性需特殊过滤。H&gt;C不等于无空间意义，但没有常规资格。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天威视讯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不进入T日预选池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H=C但非首次新空间/隐形空间；上方仍有H5/H4。只保留节后盘中条件观察。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H2八票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不进入新空间池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华茂股份、康强电子、东方中科、集泰股份、福建水泥、上工申贝、金辰股份、雪龙集团均非首次空间锚点。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 000910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9月23日模式T+1证伪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9月24盘中开板，收7.60、+0.26%、换手19.1%，未回封；H归零，移入历史与持仓管理。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N+反包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不计严格连续H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7天6板为反包结构，N+不累计到Hmax，不反向创造空间主干。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213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8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无合格新开仓候选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H5/H4均高于C3；H3天威不是首次新空间；CLOSED否决全部主动买点。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不能把9月24晋级或局部反弹简化为压缩后上涨；新梯队未通过C与风险过滤。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无可执行对象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身份、T日先手和T+1接力分开；常规T+1默认舍弃，且风险CLOSED。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新华文轩仅资格验证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9月23/24有连续高位非纯一字证据；老师未给统一换手百分比。仍须C、风险、题材和盘口，当前均不支持执行。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无正式候选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上方并非纯被动空间且断层不足完整两层；下方题材联动不能替代结构。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9月24未形成“上方被动空间明显失效＋下方唯一隐形空间逐级上位”的合规盘中结构。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无突破候选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Y=6*；新华文轩H5&lt;Y，H4/H3更低，均在屋顶下。强控未解除即使未来H&gt;Y也不得买。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暂无新节点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大亚T+1失败，不能产生T+2补救；公告票资格验证另账处理。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身份与市场前置条件不足，不从反包结果倒推。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大亚/华瓷仅历史跟踪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只解决断板后跟踪，不直接给买点；CLOSED仅做持仓风险管理。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无盘前确认对象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首阴工具不能反向创造龙头身份或绕过风险闸门。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弱转强/分离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均不产生主动权限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即使节后出现弱转强或同组分离，须先解除CLOSED，再回到主体身份和首次窗口核验。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A 核心候选板块验证表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19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16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首板/2板/3板及以上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带动证据/分支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  <w:br/>
              <w:t>严格：出版</w:t>
              <w:br/>
              <w:t>宽：传媒/M&amp;A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严格封板2只：新华传媒H4、内蒙新华N+反包；宽口径另含泰慕士、奥佳华H4等公告主题。触板炸板与仅跟涨不混计。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严格H5+H4，缺H1/H2/H3→不完整；N+另记。宽口径同样断层。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新华传媒一字在前，不能倒推由新华文轩带动；华媒控股2连跌停、华丽家族跌停，前后排背离。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无已确认出版主带队票；新华文轩仅公告资格验证。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</w:t>
              <w:br/>
              <w:t>严格：VNA</w:t>
              <w:br/>
              <w:t>宽：通用设备/仪器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严格封板1只：电科思仪H1；仅明显跟涨：莱伯泰科、创远信科、普源精电。宽口径封板5只：宁波东力、大业、洛轴、昆船、电科思仪。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严格H2+H1，缺H3→不完整；宽口径同样缺H3。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东方中科2连板，电科思仪20cm涨停，分支有扩散；最早有效封板和封单变化公开证据不足。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东方中科为高度预选；带队票待9月28盘中确认。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</w:t>
              <w:br/>
              <w:t>严格：福建建材</w:t>
              <w:br/>
              <w:t>宽：福建本地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严格封板1只：国统股份H1为宽水泥口径；福建本地封板含平潭发展、厦门港务、海峡创新、漳州发展、福建金森、厦工股份、路桥信息等。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严格H2+H1，缺H3→不完整；宽口径H2+H1、缺H3。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福建本地股午后逆势扩散；时间先后与封单稳定性需盘中数据继续核验。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福建水泥为高度预选；本分支无已确认主带队票。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  <w:cantSplit/>
        </w:trPr>
        <w:tc>
          <w:tcPr>
            <w:tcW w:type="dxa" w:w="1469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51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最高高度票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87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封单最稳票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主带队票</w:t>
            </w:r>
          </w:p>
        </w:tc>
        <w:tc>
          <w:tcPr>
            <w:tcW w:type="dxa" w:w="227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跟风/梯队/次日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出版传媒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新华文轩H5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新华传媒一字（特殊）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新华传媒一字，撤单待核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无已确认带队票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封板2+N反包1；梯队断层；9月28验证后排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VNA/通用设备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东方中科H2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东方中科/电科思仪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严格1板跟风1；宽封板6；缺H3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福建地图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福建水泥H2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午后时间待精确核验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平潭发展首板封单较大，但非同高度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福建水泥/平潭发展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宽口径多只首板；H2/H1，缺H3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汽车零部件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雪龙集团H2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首板襄阳/中马/长华；H2/H1，缺H3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PCB/电子材料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康强电子/集泰H2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大亚断板后待重选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无已确认带队票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超声电子跌停、板块走弱；原带队大亚失败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9月24日真实表现</w:t>
            </w:r>
          </w:p>
        </w:tc>
        <w:tc>
          <w:tcPr>
            <w:tcW w:type="dxa" w:w="247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27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5板盘中开板，收7.60、+0.26%、换手19.1%，未封板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PCB走弱，超声电子跌停，逸豪新材跌超10%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高开/冲板后回落→带队失败、情绪转弱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T+1证伪，移入历史/持仓管理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T字晋级5板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新华传媒H4一字；传媒后排华媒2连跌停、华丽跌停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个股公告抱团/板块延续不足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只作公告空接资格验证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VNA分支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东方中科H2、电科思仪20cm首板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莱伯泰科等仅跟涨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分支延续但梯队不完整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9月28验证是否有主带队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55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3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只做风险核验：统计非ST跌停、旧A杀、节日期间公告/停复牌；观察新华文轩及H4公告票封单撤单，VNA/福建后排。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跌停仍≥10、旧A杀未企稳或关键数据不足：维持CLOSED，主动新仓为0。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记录新华文轩开板承接、公告风险与出版后排；记录H4/H3晋级和板块联动，仅用于身份验证。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任何高开、秒板、一字或弱转强都不构成买入；开板无承接只加强风险退出。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观察跌停是否稳定回个位数、A杀是否批量反抽、福建/VNA是否由后排共同强化；已有持仓只按流动性管理。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局部个股独强而后排退潮，记个股抱团；不因单一反包或冰点标签抄底。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仅当风险硬条件已满足并正式解除CLOSED后，才可重新核验C3快照下唯一空间、主动封板/回封、振幅和板块条件。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闸门未解除、并列不分离、分时剧震、公告/一字过滤失败或板块不跟：放弃全部超级先手。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只处理已有持仓风险并记录收盘账本；复核带队票与后排同步。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不新增任何超级先手；不以尾盘偷板补写盘中买点。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无持仓动作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超预期/风险修复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非ST跌停回个位数，近期A杀批量企稳反抽；指数与连板同步修复；福建/VNA后排强化。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仍不自动交易：先确认P0闸门是否正式解除，再重新核验主体身份、C与首次窗口；本报告无预埋授权。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强势承接可继续观察；按前收、均价和回封管理，不因情绪标签重仓。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符合预期/局部抱团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新华文轩或H4继续晋级，但指数/广度弱、后排分化，跌停虽下降却未出现A杀批量企稳。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维持CLOSED或至多等待复评；不参与公告抱团和高位加速。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持强汰弱；个股独强而后排退潮时按抱团风险管理，优先可成交退出。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低预期/退潮扩散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跌停继续≥10或扩大；新华文轩/H4批量断板；福建/VNA高开低走，旧A杀继续跌停。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主动新仓为0，取消全部超级先手与弱转强观察权限。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优先风险退出，不等待尾盘修复，不把恐慌或冰点机械解释为抄底。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38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95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低预期/失效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开板后承接稳定、出版后排同步修复；仅增强资格验证。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个股晋级但后排分化，仍为公告抱团观察。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公告风险升级、开板无承接、后排继续跌停；资格或情绪验证失败。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H4三票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换手后有效晋级且分支扩散；仍须H&gt;C与公告过滤复核。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一字/秒板而无充分成交，只观察。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竞价剧震、同组互卡、炸板无回封或板块不跟。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东方中科/福建水泥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晋级H3并带动H2/H1后排，梯队开始补齐。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个股晋级但后排一般，仅观察。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高开低走、后排退潮或跌停扩散。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16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有望成为狭义空接龙＋控怪龙/空拐，T=9月23日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 T+1断板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证伪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H归零；带队失败；仅历史/持仓风险管理，不产生T+2补救。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公告空接资格观察，资格确认日暂记9月24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9月28首次资格验证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交易权限被否决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连续两日高位非纯一字证据；H5&gt;C3且CLOSED，只观察。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广义空接/控怪T=9月18日；压突摸Y=9月22日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9月23断板后历史阶段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结束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压突H&gt;Y未成立；空转趋只跟踪，不直接给买点。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H4三票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9月24次高梯队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 4进5观察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无首次常规窗口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H4&gt;C3且公告/一字特殊；不进入首页新开仓池。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天威视讯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 H3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 3进4观察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无盘前常规窗口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不是首次新空间；只有风险先解除、上方全失效并形成合规超级先手才重评。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东方中科/福建水泥/雪龙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 H2分支高度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 2进3观察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非空接首次窗口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用于板块带队和梯队验证，不反向创造身份。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7"/>
        </w:rPr>
        <w:t>T+2/T+3/T+4：大亚T+1失败，不存在补救；新华文轩按公告空接独立账本处理。个人错过、犹豫或恐高不得创造补救。4K/6K继续标“需回查原文/体系依据不足”。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竞价封单/撤单、逐笔、开板次数、回封量、分时均价与封单稳定性：待盘中确认；不得用收盘结果倒推买点。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9月23日跌停14/16只、9月24日15/16只存在口径差异；所有口径均≥10，不影响连续两日强制空仓结论。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新华文轩9月23日换手2.10%，9月24日9:26已见换手0.62%且盘中为T字板；收盘终值与逐笔待行情终端复核。老师未给统一换手百分比阈值，本报告以连续开板/成交/非纯一字证据作资格观察，不以百分比单项确认。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X=6来自大亚T+1全淘汰后回落到上一支有效空接龙华瓷实际H6；若历史空间主干账本被用户原表纠错，需同步回查。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Y=6沿用最近验证值；9月24大亚失败记新A信号，但与前一有效A/B的连续性来源链未完整恢复，不单次重算。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H4三票公告/股权/重大重组属性与一字或秒板特征须继续逐票核验；公开复盘不能替代公司公告全文。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板块“最早有效封板”“封单最稳”需要完整分时、撤单和回封数据；证据不足统一写待确认，不硬选。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P0 CLOSED只允许已有持仓风险管理；E1情绪许可不能创造身份、买点、窗口、参数或仓位。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E1缺图及第12/13节正文缺口继续标“情绪依据不足/需回查原文”，不选择对交易最有利的解释。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4K/6K量价、时点和失效参数：需回查原文/体系依据不足，不从案例补造。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主要公开数据来源｜复核时间 2026年9月24日17时28分（北京时间）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9月25—27日中秋休市、9月28日起照常开市：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上交所2026年节假日休市安排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52涨停、15跌停及H5/H4/H3/H2名单：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9月24日涨跌停与严格梯队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13连板、晋级率41.67%、超4300股下跌与高位负反馈：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财联社9月24日连板复盘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指数、成交额、PCB走弱及福建/VNA分支：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9月24日市场复盘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51涨停、14跌停及市场广度：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9月23日跌停口径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7.60元、+0.26%、换手19.1%与成交额：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大亚圣象收盘数据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09:32打开涨停、成交与换手快照：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大亚圣象开板快照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9月23日换手2.10%、9月24日盘中成交证据：</w:t>
      </w:r>
      <w:hyperlink r:id="rId16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新华文轩5板与换手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收购民族出版社与公告票过滤依据：</w:t>
      </w:r>
      <w:hyperlink r:id="rId17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新华文轩收购与异动公告报道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数据纪律：严格H只计连续涨停，N+反包不累计；同题材跟风按“收盘封住/触板炸板/明显跟涨未板”分层。公告票、起手连续一字、停牌和被动空间均单独标记。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风险提示：仅用于整理用户私有交易理论，不构成投资建议，不承诺收益。高位股票可能快速跌停、无法成交或停牌；所有动作以实时风险总闸门、客观触发与可成交性为前提。</w:t>
      </w:r>
    </w:p>
    <w:sectPr w:rsidR="00FC693F" w:rsidRPr="0006063C" w:rsidSect="00034616">
      <w:footerReference w:type="default" r:id="rId18"/>
      <w:pgSz w:w="12240" w:h="15840"/>
      <w:pgMar w:top="778" w:right="864" w:bottom="77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2026年9月28日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finance.jrj.com.cn/2026/09/24160158530105.shtml" TargetMode="External"/><Relationship Id="rId11" Type="http://schemas.openxmlformats.org/officeDocument/2006/relationships/hyperlink" Target="https://finance.sina.com.cn/roll/2026-09-24/doc-inisxhpf0449639.shtml" TargetMode="External"/><Relationship Id="rId12" Type="http://schemas.openxmlformats.org/officeDocument/2006/relationships/hyperlink" Target="https://stock.jrj.com.cn/2026/09/24172458530909.shtml" TargetMode="External"/><Relationship Id="rId13" Type="http://schemas.openxmlformats.org/officeDocument/2006/relationships/hyperlink" Target="https://caifuhao.eastmoney.com/news/20260923152832674008080" TargetMode="External"/><Relationship Id="rId14" Type="http://schemas.openxmlformats.org/officeDocument/2006/relationships/hyperlink" Target="https://stock.stockstar.com/RB2026092400024374.shtml" TargetMode="External"/><Relationship Id="rId15" Type="http://schemas.openxmlformats.org/officeDocument/2006/relationships/hyperlink" Target="https://finance.eastmoney.com/a/202609243883339765.html" TargetMode="External"/><Relationship Id="rId16" Type="http://schemas.openxmlformats.org/officeDocument/2006/relationships/hyperlink" Target="https://finance.eastmoney.com/a/202609243883468169.html" TargetMode="External"/><Relationship Id="rId17" Type="http://schemas.openxmlformats.org/officeDocument/2006/relationships/hyperlink" Target="https://finance.sina.com.cn/jjxw/2026-09-22/doc-inisrxcm7214386.shtml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2026年9月28日 A股模式股盘前操作策略</dc:title>
  <dc:subject>基于2026年9月24日完整收盘的私有体系盘前执行报告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