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b/>
          <w:color w:val="1B365D"/>
          <w:sz w:val="44"/>
        </w:rPr>
        <w:t>주식회사 SJC 정보보호(개인정보보호) 정책서</w:t>
      </w:r>
    </w:p>
    <w:p>
      <w:pPr>
        <w:spacing w:after="360"/>
      </w:pPr>
      <w:r>
        <w:rPr>
          <w:color w:val="555555"/>
          <w:sz w:val="22"/>
        </w:rPr>
        <w:t>CSAP 클라우드서비스 보안인증 대응 및 IS-P-01 v1.0 정국 표준 문서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9"/>
              </w:rPr>
              <w:t>문서명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9"/>
              </w:rPr>
              <w:t>정보보호(개인정보보호) 정책서</w:t>
            </w:r>
          </w:p>
        </w:tc>
      </w:tr>
      <w:tr>
        <w:tc>
          <w:tcPr>
            <w:tcW w:type="dxa" w:w="3168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9"/>
              </w:rPr>
              <w:t>문서번호 / 사규번호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9"/>
              </w:rPr>
              <w:t>IS-P-01 / 4100-P01</w:t>
            </w:r>
          </w:p>
        </w:tc>
      </w:tr>
      <w:tr>
        <w:tc>
          <w:tcPr>
            <w:tcW w:type="dxa" w:w="3168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9"/>
              </w:rPr>
              <w:t>버전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9"/>
              </w:rPr>
              <w:t>v1.0 (정식 검토본)</w:t>
            </w:r>
          </w:p>
        </w:tc>
      </w:tr>
      <w:tr>
        <w:tc>
          <w:tcPr>
            <w:tcW w:type="dxa" w:w="3168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9"/>
              </w:rPr>
              <w:t>보안등급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9"/>
              </w:rPr>
              <w:t>사내한</w:t>
            </w:r>
          </w:p>
        </w:tc>
      </w:tr>
      <w:tr>
        <w:tc>
          <w:tcPr>
            <w:tcW w:type="dxa" w:w="3168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9"/>
              </w:rPr>
              <w:t>주관부서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9"/>
              </w:rPr>
              <w:t>정보보호팀 (정보보호 담당 조직)</w:t>
            </w:r>
          </w:p>
        </w:tc>
      </w:tr>
      <w:tr>
        <w:tc>
          <w:tcPr>
            <w:tcW w:type="dxa" w:w="3168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9"/>
              </w:rPr>
              <w:t>승인자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9"/>
              </w:rPr>
              <w:t>정보보호최고책임자 (CISO)</w:t>
            </w:r>
          </w:p>
        </w:tc>
      </w:tr>
      <w:tr>
        <w:tc>
          <w:tcPr>
            <w:tcW w:type="dxa" w:w="3168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9"/>
              </w:rPr>
              <w:t>제정일 / 시행일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9"/>
              </w:rPr>
              <w:t>2026. 10. 26. / 2026. 11. 01.</w:t>
            </w:r>
          </w:p>
        </w:tc>
      </w:tr>
      <w:tr>
        <w:tc>
          <w:tcPr>
            <w:tcW w:type="dxa" w:w="3168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9"/>
              </w:rPr>
              <w:t>다음 검토 예정일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9"/>
              </w:rPr>
              <w:t>2027. 10. 25. (연 1회 이상)</w:t>
            </w:r>
          </w:p>
        </w:tc>
      </w:tr>
      <w:tr>
        <w:tc>
          <w:tcPr>
            <w:tcW w:type="dxa" w:w="3168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9"/>
              </w:rPr>
              <w:t>적용 서비스 / 유형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sz w:val="19"/>
              </w:rPr>
              <w:t>SJC 클라우드 서비스 / SaaS 표준등급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b/>
          <w:color w:val="1B365D"/>
          <w:sz w:val="28"/>
        </w:rPr>
        <w:t>문서 승인 및 개정 관리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부서·직위</w:t>
            </w:r>
          </w:p>
        </w:tc>
        <w:tc>
          <w:tcPr>
            <w:tcW w:type="dxa" w:w="1728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성명</w:t>
            </w:r>
          </w:p>
        </w:tc>
        <w:tc>
          <w:tcPr>
            <w:tcW w:type="dxa" w:w="1728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728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서명/의결</w:t>
            </w:r>
          </w:p>
        </w:tc>
      </w:tr>
      <w:tr>
        <w:tc>
          <w:tcPr>
            <w:tcW w:type="dxa" w:w="1584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작성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정보보호팀 담당자</w:t>
            </w:r>
          </w:p>
        </w:tc>
        <w:tc>
          <w:tcPr>
            <w:tcW w:type="dxa" w:w="1728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홍길동</w:t>
            </w:r>
          </w:p>
        </w:tc>
        <w:tc>
          <w:tcPr>
            <w:tcW w:type="dxa" w:w="1728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2026. 10. 26</w:t>
            </w:r>
          </w:p>
        </w:tc>
        <w:tc>
          <w:tcPr>
            <w:tcW w:type="dxa" w:w="1728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(서명)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검토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정보보호팀장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김철수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2026. 10. 26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(서명)</w:t>
            </w:r>
          </w:p>
        </w:tc>
      </w:tr>
      <w:tr>
        <w:tc>
          <w:tcPr>
            <w:tcW w:type="dxa" w:w="1584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합의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IT운영팀장 / IT개발팀장 / 법무팀장</w:t>
            </w:r>
          </w:p>
        </w:tc>
        <w:tc>
          <w:tcPr>
            <w:tcW w:type="dxa" w:w="1728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이영희 외</w:t>
            </w:r>
          </w:p>
        </w:tc>
        <w:tc>
          <w:tcPr>
            <w:tcW w:type="dxa" w:w="1728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2026. 10. 26</w:t>
            </w:r>
          </w:p>
        </w:tc>
        <w:tc>
          <w:tcPr>
            <w:tcW w:type="dxa" w:w="1728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(서명)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심의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정보보호위원회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(제2026-04회)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2026. 10. 26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(의결)</w:t>
            </w:r>
          </w:p>
        </w:tc>
      </w:tr>
      <w:tr>
        <w:tc>
          <w:tcPr>
            <w:tcW w:type="dxa" w:w="1584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승인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정보보호최고책임자 (CISO)</w:t>
            </w:r>
          </w:p>
        </w:tc>
        <w:tc>
          <w:tcPr>
            <w:tcW w:type="dxa" w:w="1728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박보안</w:t>
            </w:r>
          </w:p>
        </w:tc>
        <w:tc>
          <w:tcPr>
            <w:tcW w:type="dxa" w:w="1728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2026. 10. 26</w:t>
            </w:r>
          </w:p>
        </w:tc>
        <w:tc>
          <w:tcPr>
            <w:tcW w:type="dxa" w:w="1728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(서명)</w:t>
            </w:r>
          </w:p>
        </w:tc>
      </w:tr>
    </w:tbl>
    <w:p>
      <w:pPr>
        <w:spacing w:after="240"/>
      </w:pPr>
    </w:p>
    <w:p>
      <w:pPr>
        <w:spacing w:before="360" w:after="160"/>
      </w:pPr>
      <w:r>
        <w:rPr>
          <w:b/>
          <w:color w:val="1B365D"/>
          <w:sz w:val="30"/>
        </w:rPr>
        <w:t>제1장 총칙</w:t>
      </w:r>
    </w:p>
    <w:p>
      <w:pPr>
        <w:spacing w:before="240" w:after="120"/>
      </w:pPr>
      <w:r>
        <w:rPr>
          <w:b/>
          <w:color w:val="2B548A"/>
          <w:sz w:val="24"/>
        </w:rPr>
        <w:t>제1조 (목적)</w:t>
      </w:r>
    </w:p>
    <w:p>
      <w:pPr>
        <w:spacing w:before="40" w:after="120" w:line="276" w:lineRule="auto"/>
      </w:pPr>
      <w:r>
        <w:rPr>
          <w:sz w:val="19"/>
        </w:rPr>
        <w:t>이 정책서는 주식회사 SJC(이하 “회사”라 한다)가 제공하는 클라우드 서비스와 이를 운영·지원하는 조직, 인력 및 정보자산을 보호하기 위해 정보보호 및 개인정보 보호의 기본 원칙을 정하고, 하위 시행문서(지침·절차·서식)의 근거를 마련함을 목적으로 한다.</w:t>
      </w:r>
    </w:p>
    <w:p>
      <w:pPr>
        <w:spacing w:before="240" w:after="120"/>
      </w:pPr>
      <w:r>
        <w:rPr>
          <w:b/>
          <w:color w:val="2B548A"/>
          <w:sz w:val="24"/>
        </w:rPr>
        <w:t>제2조 (적용범위)</w:t>
      </w:r>
    </w:p>
    <w:p>
      <w:pPr>
        <w:spacing w:before="40" w:after="120" w:line="276" w:lineRule="auto"/>
      </w:pPr>
      <w:r>
        <w:rPr>
          <w:sz w:val="19"/>
        </w:rPr>
        <w:t>① 인원: 회사의 임직원, 파견직, 대상 서비스의 개발·운영·유지보수에 참여하는 외주·협력업체 인력 및 공급자 인력에 적용한다.</w:t>
        <w:br/>
        <w:t>② 자산·서비스: 회사의 인증 범위에 포함되는 정보시스템, 가상자원(VM, 컨테이너, DB 등), 이용기관 데이터, 관리용 단말, 운영 공간 및 관련 사업 업무 전반에 적용한다.</w:t>
        <w:br/>
        <w:t>③ 공유책임 경계: IaaS 사업자 책임 영역(물리적 데이터센터, 하이퍼바이저 등)은 IaaS 사업자의 CSAP 인증서 및 SLA로 확인하고, 회사는 운영체제(OS) 이상의 계층, 가상 네트워크, 계정·권한, 애플리케이션, 데이터 및 관리 단말의 보안을 책임진다. 이용기관은 이용기관 계정 및 업무 데이터 입력의 적정성을 책임진다.</w:t>
      </w:r>
    </w:p>
    <w:p>
      <w:pPr>
        <w:spacing w:before="240" w:after="120"/>
      </w:pPr>
      <w:r>
        <w:rPr>
          <w:b/>
          <w:color w:val="2B548A"/>
          <w:sz w:val="24"/>
        </w:rPr>
        <w:t>제3조 (용어의 정의)</w:t>
      </w:r>
    </w:p>
    <w:p>
      <w:pPr>
        <w:spacing w:before="40" w:after="120" w:line="276" w:lineRule="auto"/>
      </w:pPr>
      <w:r>
        <w:rPr>
          <w:sz w:val="19"/>
        </w:rPr>
        <w:t>1. “정보자산”이란 회사의 클라우드 서비스 제공에 사용되는 물리 장비, 가상자원, 소프트웨어, 데이터 및 관리 문서를 말한다.</w:t>
        <w:br/>
        <w:t>2. “주요직무자”란 서비스 운영, 개발, 접근권한 관리, 보안 설정 등 핵심 정보자산 및 이용기관 데이터에 직접적인 영향을 미칠 수 있는 직무를 수행하는 자를 말한다.</w:t>
        <w:br/>
        <w:t>3. “공급자”란 서비스 제공에 필요한 인프라(IaaS), 소프트웨어, 외주개발, 보안관제 등을 공급하는 외부 사업자를 말한다.</w:t>
        <w:br/>
        <w:t>4. “이용기관”이란 회사의 클라우드 서비스를 이용하는 공공기관 및 일반 기업 고객을 말한다.</w:t>
      </w:r>
    </w:p>
    <w:p>
      <w:pPr>
        <w:spacing w:before="240" w:after="120"/>
      </w:pPr>
      <w:r>
        <w:rPr>
          <w:b/>
          <w:color w:val="2B548A"/>
          <w:sz w:val="24"/>
        </w:rPr>
        <w:t>제4조 (정보보호 기본 원칙)</w:t>
      </w:r>
    </w:p>
    <w:p>
      <w:pPr>
        <w:spacing w:before="40" w:after="120" w:line="276" w:lineRule="auto"/>
      </w:pPr>
      <w:r>
        <w:rPr>
          <w:sz w:val="19"/>
        </w:rPr>
        <w:t>회사는 다음 7대 원칙에 따라 정보보호 업무를 수행한다.</w:t>
        <w:br/>
        <w:t>1. 최소권한 부여 및 직무 분리</w:t>
        <w:br/>
        <w:t>2. 위험 평가에 기반한 보완통제 적용</w:t>
        <w:br/>
        <w:t>3. 다층 방어(Defense in Depth) 및 안전한 기본 설정</w:t>
        <w:br/>
        <w:t>4. 공유책임 경계의 명확화</w:t>
        <w:br/>
        <w:t>5. 이용기관 데이터의 논리적 테넌트 분리 및 지정 구역 내 처리</w:t>
        <w:br/>
        <w:t>6. 모든 통제 이행의 기록 보존 및 증명 가능성</w:t>
        <w:br/>
        <w:t>7. 개인정보 처리의 목적 최소화 및 법령 준수</w:t>
      </w:r>
    </w:p>
    <w:p>
      <w:pPr>
        <w:spacing w:before="240" w:after="120"/>
      </w:pPr>
      <w:r>
        <w:rPr>
          <w:b/>
          <w:color w:val="2B548A"/>
          <w:sz w:val="24"/>
        </w:rPr>
        <w:t>제5조 (문서체계 및 상위 규정 특례)</w:t>
      </w:r>
    </w:p>
    <w:p>
      <w:pPr>
        <w:spacing w:before="40" w:after="120" w:line="276" w:lineRule="auto"/>
      </w:pPr>
      <w:r>
        <w:rPr>
          <w:sz w:val="19"/>
        </w:rPr>
        <w:t>① 회사의 정보보호 문서체계는 본 정책서(IS-P-01)를 최상위 문서로 하며, 분야별 지침(IS-G), 세부 절차서(IS-S) 및 운영서식/기록(IS-F)으로 구성한다. (하위 지침 목록은 [별표 1] 참조)</w:t>
        <w:br/>
        <w:t>② 회사의 「사규관리규정」 및 「위임전결규정」의 일반적 전결 기준에도 불구하고, CSAP 인증기준 충족을 위해 정보보호 정책 및 시행문서(지침)의 제·개정은 정보보호위원회의 심의를 거쳐 CISO가 최종 승인한다. 중요한 변경사항은 대표이사에게 보고한다.</w:t>
        <w:br/>
        <w:t>③ 하위 지침 및 절차서는 본 정책서가 정한 보호 수준을 하회하여 규정할 수 없다.</w:t>
      </w:r>
    </w:p>
    <w:p>
      <w:pPr>
        <w:spacing w:before="360" w:after="160"/>
      </w:pPr>
      <w:r>
        <w:rPr>
          <w:b/>
          <w:color w:val="1B365D"/>
          <w:sz w:val="30"/>
        </w:rPr>
        <w:t>제2장 정보보호 조직</w:t>
      </w:r>
    </w:p>
    <w:p>
      <w:pPr>
        <w:spacing w:before="240" w:after="120"/>
      </w:pPr>
      <w:r>
        <w:rPr>
          <w:b/>
          <w:color w:val="2B548A"/>
          <w:sz w:val="24"/>
        </w:rPr>
        <w:t>제6조 (정보보호위원회)</w:t>
      </w:r>
    </w:p>
    <w:p>
      <w:pPr>
        <w:spacing w:before="40" w:after="120" w:line="276" w:lineRule="auto"/>
      </w:pPr>
      <w:r>
        <w:rPr>
          <w:sz w:val="19"/>
        </w:rPr>
        <w:t>① 회사는 정보보호 및 개인정보 보호에 관한 주요 사항을 심의하기 위해 최고경영진 및 관련 부서장으로 구성된 정보보호위원회를 운영한다.</w:t>
        <w:br/>
        <w:t>② 정보보호위원회는 매 분기 1회 이상(연 4회 정기) 개최하며, 정책·지침 제개정, 위험평가 결과, 침해사고/장애 대응 결과, 공급자 평가, 보안감사 결과를 심의·의결한다.</w:t>
        <w:br/>
        <w:t>③ 위원회 개최 시 안건, 참석자, 의결사항, 조치계획이 포함된 회의록을 작성하여 3년간 보존한다.</w:t>
      </w:r>
    </w:p>
    <w:p>
      <w:pPr>
        <w:spacing w:before="240" w:after="120"/>
      </w:pPr>
      <w:r>
        <w:rPr>
          <w:b/>
          <w:color w:val="2B548A"/>
          <w:sz w:val="24"/>
        </w:rPr>
        <w:t>제7조 (정보보호최고책임자 및 개인정보 보호책임자)</w:t>
      </w:r>
    </w:p>
    <w:p>
      <w:pPr>
        <w:spacing w:before="40" w:after="120" w:line="276" w:lineRule="auto"/>
      </w:pPr>
      <w:r>
        <w:rPr>
          <w:sz w:val="19"/>
        </w:rPr>
        <w:t>① 회사는 대표이사 직속으로 정보보호최고책임자(CISO)를 지정하며, CISO 소속의 전담 정보보호팀을 둔다. CISO는 IT 개발 및 운영 직무와 역할상 독립되어야 한다.</w:t>
        <w:br/>
        <w:t>② 회사는 개인정보 보호법에 따라 개인정보 보호책임자(CPO)를 지정한다. 관련 법령에서 CISO의 타직무 겸직을 제한하는 규모에 해당하는 경우, CISO는 IT개발·운영 업무를 겸직할 수 없으며 CPO 업무와의 겸직 여부는 관계 법령에 맞추어 운영한다.</w:t>
        <w:br/>
        <w:t>③ CISO는 연 1회 이상 회사 정보보호 현황 및 주요 잔여위험을 대표이사에게 보고하며, 중대한 침해사고 발생 시 즉시 보고 체계를 가동한다.</w:t>
      </w:r>
    </w:p>
    <w:p>
      <w:pPr>
        <w:spacing w:before="240" w:after="120"/>
      </w:pPr>
      <w:r>
        <w:rPr>
          <w:b/>
          <w:color w:val="2B548A"/>
          <w:sz w:val="24"/>
        </w:rPr>
        <w:t>제8조 (역할과 책임)</w:t>
      </w:r>
    </w:p>
    <w:p>
      <w:pPr>
        <w:spacing w:before="40" w:after="120" w:line="276" w:lineRule="auto"/>
      </w:pPr>
      <w:r>
        <w:rPr>
          <w:sz w:val="19"/>
        </w:rPr>
        <w:t>① 부서별 정보보호 역할 및 RACI는 [별표 3]에 따른다.</w:t>
        <w:br/>
        <w:t>② 모든 업무 활동의 최종 책임(Accountable)은 단일 부서(또는 단일 책임자)에게 부여하는 것을 원칙으로 한다.</w:t>
        <w:br/>
        <w:t>③ 보안 감사 기능은 보안 통제 실행 부서로부터 독립되어 점검을 수행한다.</w:t>
      </w:r>
    </w:p>
    <w:p>
      <w:pPr>
        <w:spacing w:before="240" w:after="120"/>
      </w:pPr>
      <w:r>
        <w:rPr>
          <w:b/>
          <w:color w:val="2B548A"/>
          <w:sz w:val="24"/>
        </w:rPr>
        <w:t>제9조 (정책의 검토 및 문서관리)</w:t>
      </w:r>
    </w:p>
    <w:p>
      <w:pPr>
        <w:spacing w:before="40" w:after="120" w:line="276" w:lineRule="auto"/>
      </w:pPr>
      <w:r>
        <w:rPr>
          <w:sz w:val="19"/>
        </w:rPr>
        <w:t>① 정보보호팀은 연 1회 이상(매년 10월) 본 정책서 및 하위 지침의 적정성을 정기 검토한다. 법령·인증기준 개정, 조직/서비스의 중대 변경, 침해사고 발생 시에는 수시 검토를 실시한다.</w:t>
        <w:br/>
        <w:t>② 최신 승인본은 중앙 사내 게시판에 통제본으로 게시하며, 구버전은 폐기 표시 후 구분하여 보존한다.</w:t>
      </w:r>
    </w:p>
    <w:p>
      <w:pPr>
        <w:spacing w:before="360" w:after="160"/>
      </w:pPr>
      <w:r>
        <w:rPr>
          <w:b/>
          <w:color w:val="1B365D"/>
          <w:sz w:val="30"/>
        </w:rPr>
        <w:t>제3장 인적보안</w:t>
      </w:r>
    </w:p>
    <w:p>
      <w:pPr>
        <w:spacing w:before="240" w:after="120"/>
      </w:pPr>
      <w:r>
        <w:rPr>
          <w:b/>
          <w:color w:val="2B548A"/>
          <w:sz w:val="24"/>
        </w:rPr>
        <w:t>제10조 (채용 및 비밀유지서약)</w:t>
      </w:r>
    </w:p>
    <w:p>
      <w:pPr>
        <w:spacing w:before="40" w:after="120" w:line="276" w:lineRule="auto"/>
      </w:pPr>
      <w:r>
        <w:rPr>
          <w:sz w:val="19"/>
        </w:rPr>
        <w:t>① 인사팀은 신규 입사자, 파견직, 외주인력 합류 시 보안 의무가 포함된 근로계약/서약서를 체결한다.</w:t>
        <w:br/>
        <w:t>② 모든 인력은 입사/합류 시, 주요직무 지정 시, 퇴사 시 비밀유지서약서(보안서약서)를 제출하여야 하며, 미제출 시 권한 부여를 금지한다.</w:t>
      </w:r>
    </w:p>
    <w:p>
      <w:pPr>
        <w:spacing w:before="240" w:after="120"/>
      </w:pPr>
      <w:r>
        <w:rPr>
          <w:b/>
          <w:color w:val="2B548A"/>
          <w:sz w:val="24"/>
        </w:rPr>
        <w:t>제11조 (주요직무자 관리)</w:t>
      </w:r>
    </w:p>
    <w:p>
      <w:pPr>
        <w:spacing w:before="40" w:after="120" w:line="276" w:lineRule="auto"/>
      </w:pPr>
      <w:r>
        <w:rPr>
          <w:sz w:val="19"/>
        </w:rPr>
        <w:t>① CISO는 대상 서비스의 OS/DB/네트워크/보안 장비 설정 및 이용기관 데이터에 접근할 수 있는 직무를 '주요직무'로 지정한다.</w:t>
        <w:br/>
        <w:t>② 주요직무자 목록은 소관 부서장의 신청과 정보보호팀의 검토를 거쳐 최소한으로 유지하며, 반기 1회 이상 실제 계정/권한과 목록을 대조·검증한다.</w:t>
      </w:r>
    </w:p>
    <w:p>
      <w:pPr>
        <w:spacing w:before="240" w:after="120"/>
      </w:pPr>
      <w:r>
        <w:rPr>
          <w:b/>
          <w:color w:val="2B548A"/>
          <w:sz w:val="24"/>
        </w:rPr>
        <w:t>제12조 (직무분리)</w:t>
      </w:r>
    </w:p>
    <w:p>
      <w:pPr>
        <w:spacing w:before="40" w:after="120" w:line="276" w:lineRule="auto"/>
      </w:pPr>
      <w:r>
        <w:rPr>
          <w:sz w:val="19"/>
        </w:rPr>
        <w:t>① 개발 환경과 운영 환경의 배포 권한, 보안 정책 신청자와 승인자, 시스템 운영자와 보안 감사자는 상호 겸직할 수 없다.</w:t>
        <w:br/>
        <w:t>② 인력 부재 등으로 불가피하게 직무분리가 불가능한 경우 사유, 기간, 보완통제(승인 절차 강화, 상세 로그 상시 모니터링)를 수립하여 CISO의 승인을 받아야 한다.</w:t>
      </w:r>
    </w:p>
    <w:p>
      <w:pPr>
        <w:spacing w:before="240" w:after="120"/>
      </w:pPr>
      <w:r>
        <w:rPr>
          <w:b/>
          <w:color w:val="2B548A"/>
          <w:sz w:val="24"/>
        </w:rPr>
        <w:t>제13조 (인사변경 및 퇴직)</w:t>
      </w:r>
    </w:p>
    <w:p>
      <w:pPr>
        <w:spacing w:before="40" w:after="120" w:line="276" w:lineRule="auto"/>
      </w:pPr>
      <w:r>
        <w:rPr>
          <w:sz w:val="19"/>
        </w:rPr>
        <w:t>① 인사팀은 퇴직, 전보, 휴직 등 인사발령 확정 즉시(발령 1일 전까지) IT운영팀 및 정보보호팀에 통보한다.</w:t>
        <w:br/>
        <w:t>② IT운영팀은 퇴직일 당일 즉시(18:00 이전) 계정을 회수/잠금 처리하고, 전보자의 경우 기존 직무 권한을 24시간 이내 일괄 삭제한다.</w:t>
        <w:br/>
        <w:t>③ 퇴직자는 반납 자산 및 보안 토큰을 확인받고 최종 퇴직 보안서약서를 제출한다.</w:t>
      </w:r>
    </w:p>
    <w:p>
      <w:pPr>
        <w:spacing w:before="240" w:after="120"/>
      </w:pPr>
      <w:r>
        <w:rPr>
          <w:b/>
          <w:color w:val="2B548A"/>
          <w:sz w:val="24"/>
        </w:rPr>
        <w:t>제14조 (외부인력 보안)</w:t>
      </w:r>
    </w:p>
    <w:p>
      <w:pPr>
        <w:spacing w:before="40" w:after="120" w:line="276" w:lineRule="auto"/>
      </w:pPr>
      <w:r>
        <w:rPr>
          <w:sz w:val="19"/>
        </w:rPr>
        <w:t>① 외부 인력 및 외주업체와 계약 시 비밀유지 조항, 사고 발생 시 손해배상, 재위탁 금지, 점검 권한을 계약서에 명시한다.</w:t>
        <w:br/>
        <w:t>② 정보보호팀은 외부인력의 보안 준수 현황을 반기 1회 이상 점검하고, 계약 종료 즉시 접근권한 차단 및 자산/데이터 파기확인서를 수령한다.</w:t>
      </w:r>
    </w:p>
    <w:p>
      <w:pPr>
        <w:spacing w:before="240" w:after="120"/>
      </w:pPr>
      <w:r>
        <w:rPr>
          <w:b/>
          <w:color w:val="2B548A"/>
          <w:sz w:val="24"/>
        </w:rPr>
        <w:t>제15조 (정보보호 교육)</w:t>
      </w:r>
    </w:p>
    <w:p>
      <w:pPr>
        <w:spacing w:before="40" w:after="120" w:line="276" w:lineRule="auto"/>
      </w:pPr>
      <w:r>
        <w:rPr>
          <w:sz w:val="19"/>
        </w:rPr>
        <w:t>① 정보보호팀은 연간 교육계획을 수립하여 전 임직원 대상 연 1회(최소 6시간) 이상, 주요직무자/개인정보취급자 대상 연 2회 이상 교육을 실시한다.</w:t>
        <w:br/>
        <w:t>② 신규 입사자는 업무 투입 전 2시간 이상의 정보보호 입문 교육을 필수 완료해야 한다. 교육 결과 및 참석자 서명부는 3년간 보존한다.</w:t>
      </w:r>
    </w:p>
    <w:p>
      <w:pPr>
        <w:spacing w:before="360" w:after="160"/>
      </w:pPr>
      <w:r>
        <w:rPr>
          <w:b/>
          <w:color w:val="1B365D"/>
          <w:sz w:val="30"/>
        </w:rPr>
        <w:t>제4장 자산관리</w:t>
      </w:r>
    </w:p>
    <w:p>
      <w:pPr>
        <w:spacing w:before="240" w:after="120"/>
      </w:pPr>
      <w:r>
        <w:rPr>
          <w:b/>
          <w:color w:val="2B548A"/>
          <w:sz w:val="24"/>
        </w:rPr>
        <w:t>제16조 (자산의 식별 및 관리)</w:t>
      </w:r>
    </w:p>
    <w:p>
      <w:pPr>
        <w:spacing w:before="40" w:after="120" w:line="276" w:lineRule="auto"/>
      </w:pPr>
      <w:r>
        <w:rPr>
          <w:sz w:val="19"/>
        </w:rPr>
        <w:t>① 회사는 클라우드 서비스 제공에 투입되는 물리 장비, 가상 자원(VM, Container, Pod 등), S/W, 데이터, API 등을 포함한 정보자산목록을 작성하고 관리자를 지정한다.</w:t>
        <w:br/>
        <w:t>② 가상 자원의 생명주기(생성-변경-삭제)를 관리하고, 미사용 자원은 즉시 삭제하여 자산의 고아화(Orphaned assets)를 방지한다.</w:t>
      </w:r>
    </w:p>
    <w:p>
      <w:pPr>
        <w:spacing w:before="240" w:after="120"/>
      </w:pPr>
      <w:r>
        <w:rPr>
          <w:b/>
          <w:color w:val="2B548A"/>
          <w:sz w:val="24"/>
        </w:rPr>
        <w:t>제17조 (자산 중요도 평가 및 분류)</w:t>
      </w:r>
    </w:p>
    <w:p>
      <w:pPr>
        <w:spacing w:before="40" w:after="120" w:line="276" w:lineRule="auto"/>
      </w:pPr>
      <w:r>
        <w:rPr>
          <w:sz w:val="19"/>
        </w:rPr>
        <w:t>모든 정보자산은 기밀성, 무결성, 가용성 요소를 평가하여 3단계(1등급: 상, 2등급: 중, 3등급: 하)로 분류하며, 등급에 따른 차등화된 접근통제 및 암호화 수준을 적용한다.</w:t>
      </w:r>
    </w:p>
    <w:p>
      <w:pPr>
        <w:spacing w:before="240" w:after="120"/>
      </w:pPr>
      <w:r>
        <w:rPr>
          <w:b/>
          <w:color w:val="2B548A"/>
          <w:sz w:val="24"/>
        </w:rPr>
        <w:t>제18조 (자산 변경관리)</w:t>
      </w:r>
    </w:p>
    <w:p>
      <w:pPr>
        <w:spacing w:before="40" w:after="120" w:line="276" w:lineRule="auto"/>
      </w:pPr>
      <w:r>
        <w:rPr>
          <w:sz w:val="19"/>
        </w:rPr>
        <w:t>인프라, 가상자원, 네트워크 설정, 핵심 S/W의 변경은 변경신청서 작성 -&gt; 사전 영향평가 및 보안성 검토 -&gt; 승인권자 결재 -&gt; 작업 및 복구계획 수립 -&gt; 사후 결과 확인의 절차를 준수한다.</w:t>
      </w:r>
    </w:p>
    <w:p>
      <w:pPr>
        <w:spacing w:before="240" w:after="120"/>
      </w:pPr>
      <w:r>
        <w:rPr>
          <w:b/>
          <w:color w:val="2B548A"/>
          <w:sz w:val="24"/>
        </w:rPr>
        <w:t>제19조 (위험관리)</w:t>
      </w:r>
    </w:p>
    <w:p>
      <w:pPr>
        <w:spacing w:before="40" w:after="120" w:line="276" w:lineRule="auto"/>
      </w:pPr>
      <w:r>
        <w:rPr>
          <w:sz w:val="19"/>
        </w:rPr>
        <w:t>① 정보보호팀은 연 1회 이상 정기 위험평가를 실시하며, 서비스/인프라 구조의 중대한 변경 시 수시 위험평가를 수행한다.</w:t>
        <w:br/>
        <w:t>② 위험평가 결과 수용할 수 없는 위험(DoR 이상)에 대해서는 위험조치계획을 수립하여 정보보호위원회에 보고하고 CISO 승인을 받아 이행한다.</w:t>
      </w:r>
    </w:p>
    <w:p>
      <w:pPr>
        <w:spacing w:before="360" w:after="160"/>
      </w:pPr>
      <w:r>
        <w:rPr>
          <w:b/>
          <w:color w:val="1B365D"/>
          <w:sz w:val="30"/>
        </w:rPr>
        <w:t>제5장 서비스 공급망 관리</w:t>
      </w:r>
    </w:p>
    <w:p>
      <w:pPr>
        <w:spacing w:before="240" w:after="120"/>
      </w:pPr>
      <w:r>
        <w:rPr>
          <w:b/>
          <w:color w:val="2B548A"/>
          <w:sz w:val="24"/>
        </w:rPr>
        <w:t>제20조 (공급망 관리 정책)</w:t>
      </w:r>
    </w:p>
    <w:p>
      <w:pPr>
        <w:spacing w:before="40" w:after="120" w:line="276" w:lineRule="auto"/>
      </w:pPr>
      <w:r>
        <w:rPr>
          <w:sz w:val="19"/>
        </w:rPr>
        <w:t>① IaaS 사업자, SaaS 연동업체, 보안관제/유지보수 업체 등 서비스 공급자 목록을 작성하고 연 1회 이상 보안 상태(CSAP 인증 유지 여부, SLA 이행률)를 평가한다.</w:t>
        <w:br/>
        <w:t>② 계약서 내 보안 요구사항, 침해사고 통지의무(발생 즉시 통보), 재위탁 사전 승인, 감사 권한 조항을 필수 포함한다.</w:t>
      </w:r>
    </w:p>
    <w:p>
      <w:pPr>
        <w:spacing w:before="240" w:after="120"/>
      </w:pPr>
      <w:r>
        <w:rPr>
          <w:b/>
          <w:color w:val="2B548A"/>
          <w:sz w:val="24"/>
        </w:rPr>
        <w:t>제21조 (공급자 변경 및 소프트웨어 취약점 관리)</w:t>
      </w:r>
    </w:p>
    <w:p>
      <w:pPr>
        <w:spacing w:before="40" w:after="120" w:line="276" w:lineRule="auto"/>
      </w:pPr>
      <w:r>
        <w:rPr>
          <w:sz w:val="19"/>
        </w:rPr>
        <w:t>① 공급자의 서비스/계약 변경 시 사전 보안성 검토를 수행한다.</w:t>
        <w:br/>
        <w:t>② 오픈소스 및 오픈소스 라이브러리를 포함한 외부 소프트웨어 도입 시 SBOM(소프트웨어 자재명세서)을 식별하고 주기적인 취약점 모니터링을 수행한다.</w:t>
      </w:r>
    </w:p>
    <w:p>
      <w:pPr>
        <w:spacing w:before="360" w:after="160"/>
      </w:pPr>
      <w:r>
        <w:rPr>
          <w:b/>
          <w:color w:val="1B365D"/>
          <w:sz w:val="30"/>
        </w:rPr>
        <w:t>제6장 침해사고 관리</w:t>
      </w:r>
    </w:p>
    <w:p>
      <w:pPr>
        <w:spacing w:before="240" w:after="120"/>
      </w:pPr>
      <w:r>
        <w:rPr>
          <w:b/>
          <w:color w:val="2B548A"/>
          <w:sz w:val="24"/>
        </w:rPr>
        <w:t>제22조 (침해사고 대응 체계)</w:t>
      </w:r>
    </w:p>
    <w:p>
      <w:pPr>
        <w:spacing w:before="40" w:after="120" w:line="276" w:lineRule="auto"/>
      </w:pPr>
      <w:r>
        <w:rPr>
          <w:sz w:val="19"/>
        </w:rPr>
        <w:t>① 회사는 24시간 365일 침해사고 탐지 및 대응 체계를 구축하고 침해사고대응반(CERT)을 구성·운영한다.</w:t>
        <w:br/>
        <w:t>② 사고 발생 시 [탐지/신고 -&gt; 초기대응/격리 -&gt; 분석 -&gt; 복구 -&gt; 사후보고] 절차를 준수한다.</w:t>
      </w:r>
    </w:p>
    <w:p>
      <w:pPr>
        <w:spacing w:before="240" w:after="120"/>
      </w:pPr>
      <w:r>
        <w:rPr>
          <w:b/>
          <w:color w:val="2B548A"/>
          <w:sz w:val="24"/>
        </w:rPr>
        <w:t>제23조 (사고 통지 및 보고)</w:t>
      </w:r>
    </w:p>
    <w:p>
      <w:pPr>
        <w:spacing w:before="40" w:after="120" w:line="276" w:lineRule="auto"/>
      </w:pPr>
      <w:r>
        <w:rPr>
          <w:sz w:val="19"/>
        </w:rPr>
        <w:t>중대한 침해사고 또는 개인정보 유출 발생 시 관계 법령(개인정보 보호법 등)에 따라 지체 없이(법령상 시한 내) 관할 기관(KISA, 개인정보보호위원회 등) 및 피해 이용기관에 통지/신고한다.</w:t>
      </w:r>
    </w:p>
    <w:p>
      <w:pPr>
        <w:spacing w:before="240" w:after="120"/>
      </w:pPr>
      <w:r>
        <w:rPr>
          <w:b/>
          <w:color w:val="2B548A"/>
          <w:sz w:val="24"/>
        </w:rPr>
        <w:t>제24조 (침해사고 훈련)</w:t>
      </w:r>
    </w:p>
    <w:p>
      <w:pPr>
        <w:spacing w:before="40" w:after="120" w:line="276" w:lineRule="auto"/>
      </w:pPr>
      <w:r>
        <w:rPr>
          <w:sz w:val="19"/>
        </w:rPr>
        <w:t>정보보호팀은 연 1회 이상 침해사고 모의훈련(도스 공격, 랜섬웨어, 이용기관 데이터 유출 시나리오 등)을 실시하고 결과를 평가하여 침해사고 대응 절차에 반영한다.</w:t>
      </w:r>
    </w:p>
    <w:p>
      <w:pPr>
        <w:spacing w:before="360" w:after="160"/>
      </w:pPr>
      <w:r>
        <w:rPr>
          <w:b/>
          <w:color w:val="1B365D"/>
          <w:sz w:val="30"/>
        </w:rPr>
        <w:t>제7장 서비스 연속성 관리</w:t>
      </w:r>
    </w:p>
    <w:p>
      <w:pPr>
        <w:spacing w:before="240" w:after="120"/>
      </w:pPr>
      <w:r>
        <w:rPr>
          <w:b/>
          <w:color w:val="2B548A"/>
          <w:sz w:val="24"/>
        </w:rPr>
        <w:t>제25조 (업무연속성 및 재해복구)</w:t>
      </w:r>
    </w:p>
    <w:p>
      <w:pPr>
        <w:spacing w:before="40" w:after="120" w:line="276" w:lineRule="auto"/>
      </w:pPr>
      <w:r>
        <w:rPr>
          <w:sz w:val="19"/>
        </w:rPr>
        <w:t>① 회사는 주요 가상 인프라 및 이용기관 데이터에 대한 백업 정책을 수립하고 실행한다. 백업 데이터는 원격지 또는 타 지역(Multi-Region/Zone)에 안전하게 소외 보관한다.</w:t>
        <w:br/>
        <w:t>② 연 1회 이상 재해복구(DR) 모의훈련 및 백업 데이터 복구 테스트를 실시하여 RTO(복구목표시간) 및 RPO(복구목표시점) 준수 여부를 검증한다.</w:t>
      </w:r>
    </w:p>
    <w:p>
      <w:pPr>
        <w:spacing w:before="360" w:after="160"/>
      </w:pPr>
      <w:r>
        <w:rPr>
          <w:b/>
          <w:color w:val="1B365D"/>
          <w:sz w:val="30"/>
        </w:rPr>
        <w:t>제8장 준거성 및 보안감사</w:t>
      </w:r>
    </w:p>
    <w:p>
      <w:pPr>
        <w:spacing w:before="240" w:after="120"/>
      </w:pPr>
      <w:r>
        <w:rPr>
          <w:b/>
          <w:color w:val="2B548A"/>
          <w:sz w:val="24"/>
        </w:rPr>
        <w:t>제26조 (법적·계약적 준거성)</w:t>
      </w:r>
    </w:p>
    <w:p>
      <w:pPr>
        <w:spacing w:before="40" w:after="120" w:line="276" w:lineRule="auto"/>
      </w:pPr>
      <w:r>
        <w:rPr>
          <w:sz w:val="19"/>
        </w:rPr>
        <w:t>정보보호팀은 개인정보 보호법, 정보통신망법, CSAP 인증기준 등 관련 법률 및 이용기관 계약 요구사항의 제·개정 현황을 주기적으로 모니터링하고 정책/지침에 반영한다.</w:t>
      </w:r>
    </w:p>
    <w:p>
      <w:pPr>
        <w:spacing w:before="240" w:after="120"/>
      </w:pPr>
      <w:r>
        <w:rPr>
          <w:b/>
          <w:color w:val="2B548A"/>
          <w:sz w:val="24"/>
        </w:rPr>
        <w:t>제27조 (내부 보안감사)</w:t>
      </w:r>
    </w:p>
    <w:p>
      <w:pPr>
        <w:spacing w:before="40" w:after="120" w:line="276" w:lineRule="auto"/>
      </w:pPr>
      <w:r>
        <w:rPr>
          <w:sz w:val="19"/>
        </w:rPr>
        <w:t>① CISO는 독립적인 보안감사자를 지정하여 연 1회 이상 CSAP 범위 전반에 대한 내부 보안감사를 실시한다.</w:t>
        <w:br/>
        <w:t>② 감사 결과 발굴된 부적합 사항에 대해 피감사 부서에 시정조치를 요구하며, 시정 결과는 정보보호위원회에 보고한다.</w:t>
      </w:r>
    </w:p>
    <w:p>
      <w:pPr>
        <w:spacing w:before="360" w:after="160"/>
      </w:pPr>
      <w:r>
        <w:rPr>
          <w:b/>
          <w:color w:val="1B365D"/>
          <w:sz w:val="30"/>
        </w:rPr>
        <w:t>제9장 물리적 보안</w:t>
      </w:r>
    </w:p>
    <w:p>
      <w:pPr>
        <w:spacing w:before="240" w:after="120"/>
      </w:pPr>
      <w:r>
        <w:rPr>
          <w:b/>
          <w:color w:val="2B548A"/>
          <w:sz w:val="24"/>
        </w:rPr>
        <w:t>제28조 (물리적 보호)</w:t>
      </w:r>
    </w:p>
    <w:p>
      <w:pPr>
        <w:spacing w:before="40" w:after="120" w:line="276" w:lineRule="auto"/>
      </w:pPr>
      <w:r>
        <w:rPr>
          <w:sz w:val="19"/>
        </w:rPr>
        <w:t>① 데이터센터 물리 인프라는 CSAP 인증을 획득한 IaaS 사업자의 시설에 위탁하고 SLA 및 인증서로 보호 수준을 확인한다.</w:t>
        <w:br/>
        <w:t>② 회사의 본사 사무실, 관리 단말 보존 구역, 개발실 등 회사 책임 영역은 물리적 출입통제(세콤, 통제구역 설정, 방명록 관리)를 적용한다.</w:t>
      </w:r>
    </w:p>
    <w:p>
      <w:pPr>
        <w:spacing w:before="360" w:after="160"/>
      </w:pPr>
      <w:r>
        <w:rPr>
          <w:b/>
          <w:color w:val="1B365D"/>
          <w:sz w:val="30"/>
        </w:rPr>
        <w:t>제10장 가상화 보안</w:t>
      </w:r>
    </w:p>
    <w:p>
      <w:pPr>
        <w:spacing w:before="240" w:after="120"/>
      </w:pPr>
      <w:r>
        <w:rPr>
          <w:b/>
          <w:color w:val="2B548A"/>
          <w:sz w:val="24"/>
        </w:rPr>
        <w:t>제29조 (가상화 및 테넌트 격리)</w:t>
      </w:r>
    </w:p>
    <w:p>
      <w:pPr>
        <w:spacing w:before="40" w:after="120" w:line="276" w:lineRule="auto"/>
      </w:pPr>
      <w:r>
        <w:rPr>
          <w:sz w:val="19"/>
        </w:rPr>
        <w:t>① 가상머신, 컨테이너, 가상 네트워크(VPC/Subnet) 간에는 엄격한 논리적 격리 통제(Security Group, Network ACL)를 적용하여 테넌트(이용기관) 간 데이터 섞임이나 우회 접근을 철저히 차단한다.</w:t>
        <w:br/>
        <w:t>② 관리용 Hypervisor/Kubernetes Control Plane 등에 대한 접근은 지정된 내부 관리망 및 PAM(접근제어 시스템)을 통해서만 가능하도록 통제한다.</w:t>
      </w:r>
    </w:p>
    <w:p>
      <w:pPr>
        <w:spacing w:before="360" w:after="160"/>
      </w:pPr>
      <w:r>
        <w:rPr>
          <w:b/>
          <w:color w:val="1B365D"/>
          <w:sz w:val="30"/>
        </w:rPr>
        <w:t>제11장 접근통제</w:t>
      </w:r>
    </w:p>
    <w:p>
      <w:pPr>
        <w:spacing w:before="240" w:after="120"/>
      </w:pPr>
      <w:r>
        <w:rPr>
          <w:b/>
          <w:color w:val="2B548A"/>
          <w:sz w:val="24"/>
        </w:rPr>
        <w:t>제30조 (접근권한 관리 및 인증)</w:t>
      </w:r>
    </w:p>
    <w:p>
      <w:pPr>
        <w:spacing w:before="40" w:after="120" w:line="276" w:lineRule="auto"/>
      </w:pPr>
      <w:r>
        <w:rPr>
          <w:sz w:val="19"/>
        </w:rPr>
        <w:t>① 모든 사용자와 관리자는 1인 1계정을 원칙으로 하며 공동 계정 사용을 금지한다.</w:t>
        <w:br/>
        <w:t>② 시스템 및 관리 콘솔 접근 시 2차 인증(MFA/2FA)을 필수적으로 적용한다.</w:t>
        <w:br/>
        <w:t>③ 접근권한은 최소권한 원칙에 따라 부여하며, IT운영팀은 분기 1회 이상 접근권한 적정성을 검토하여 불필요 권한을 회수한다. (세부는 IS-G-05 접근통제 지침 준수)</w:t>
      </w:r>
    </w:p>
    <w:p>
      <w:pPr>
        <w:spacing w:before="360" w:after="160"/>
      </w:pPr>
      <w:r>
        <w:rPr>
          <w:b/>
          <w:color w:val="1B365D"/>
          <w:sz w:val="30"/>
        </w:rPr>
        <w:t>제12장 네트워크 보안</w:t>
      </w:r>
    </w:p>
    <w:p>
      <w:pPr>
        <w:spacing w:before="240" w:after="120"/>
      </w:pPr>
      <w:r>
        <w:rPr>
          <w:b/>
          <w:color w:val="2B548A"/>
          <w:sz w:val="24"/>
        </w:rPr>
        <w:t>제31조 (네트워크 분리 및 모니터링)</w:t>
      </w:r>
    </w:p>
    <w:p>
      <w:pPr>
        <w:spacing w:before="40" w:after="120" w:line="276" w:lineRule="auto"/>
      </w:pPr>
      <w:r>
        <w:rPr>
          <w:sz w:val="19"/>
        </w:rPr>
        <w:t>① 운영망, 개발망, 관리망, 외부 인터넷망을 방화벽 및 가상 네트워크 단위로 상호 분리한다.</w:t>
        <w:br/>
        <w:t>② 서비스 구간 외의 외부 직접 접근을 차단하며, 외부에서의 관리 접근은 VPN 및 Bastion Host를 거쳐 승인된 IP에서만 허용한다.</w:t>
      </w:r>
    </w:p>
    <w:p>
      <w:pPr>
        <w:spacing w:before="360" w:after="160"/>
      </w:pPr>
      <w:r>
        <w:rPr>
          <w:b/>
          <w:color w:val="1B365D"/>
          <w:sz w:val="30"/>
        </w:rPr>
        <w:t>제13장 데이터 보호 및 암호화</w:t>
      </w:r>
    </w:p>
    <w:p>
      <w:pPr>
        <w:spacing w:before="240" w:after="120"/>
      </w:pPr>
      <w:r>
        <w:rPr>
          <w:b/>
          <w:color w:val="2B548A"/>
          <w:sz w:val="24"/>
        </w:rPr>
        <w:t>제32조 (이용기관 데이터 보호 및 테넌트 분리)</w:t>
      </w:r>
    </w:p>
    <w:p>
      <w:pPr>
        <w:spacing w:before="40" w:after="120" w:line="276" w:lineRule="auto"/>
      </w:pPr>
      <w:r>
        <w:rPr>
          <w:sz w:val="19"/>
        </w:rPr>
        <w:t>이용기관의 데이터는 DB 레벨 및 저장소 레벨에서 이용기관별 식별자(Tenant ID) 기반으로 논리적으로 철저히 분리 저장·처리되어야 한다.</w:t>
      </w:r>
    </w:p>
    <w:p>
      <w:pPr>
        <w:spacing w:before="240" w:after="120"/>
      </w:pPr>
      <w:r>
        <w:rPr>
          <w:b/>
          <w:color w:val="2B548A"/>
          <w:sz w:val="24"/>
        </w:rPr>
        <w:t>제33조 (암호화)</w:t>
      </w:r>
    </w:p>
    <w:p>
      <w:pPr>
        <w:spacing w:before="40" w:after="120" w:line="276" w:lineRule="auto"/>
      </w:pPr>
      <w:r>
        <w:rPr>
          <w:sz w:val="19"/>
        </w:rPr>
        <w:t>① 개인정보, 비밀번호, 인증키, 이용기관 주요 데이터는 저장 시(Rest) 및 전송 시(Transit, TLS 1.2 이상) 검증된 암호화 알고리즘(AES-256, SHA-256 등)을 적용한다.</w:t>
        <w:br/>
        <w:t>② 암호키는 암호키 관리 시스템(KMS)을 통해 전용 생명주기 절차에 따라 안전하게 생성, 저장, 교체, 파기한다.</w:t>
      </w:r>
    </w:p>
    <w:p>
      <w:pPr>
        <w:spacing w:before="240" w:after="120"/>
      </w:pPr>
      <w:r>
        <w:rPr>
          <w:b/>
          <w:color w:val="2B548A"/>
          <w:sz w:val="24"/>
        </w:rPr>
        <w:t>제34조 (데이터 파기)</w:t>
      </w:r>
    </w:p>
    <w:p>
      <w:pPr>
        <w:spacing w:before="40" w:after="120" w:line="276" w:lineRule="auto"/>
      </w:pPr>
      <w:r>
        <w:rPr>
          <w:sz w:val="19"/>
        </w:rPr>
        <w:t>계약 해지, 이용기간 만료 또는 파기 요청 시 회사는 30일 이내 이용기관 데이터 및 복구용 백업본을 복구 불가능한 방법으로 영구 삭제하고 데이터 파기 확인서를 이용기관에 발급한다.</w:t>
      </w:r>
    </w:p>
    <w:p>
      <w:pPr>
        <w:spacing w:before="360" w:after="160"/>
      </w:pPr>
      <w:r>
        <w:rPr>
          <w:b/>
          <w:color w:val="1B365D"/>
          <w:sz w:val="30"/>
        </w:rPr>
        <w:t>제14장 시스템 개발 및 도입 보안</w:t>
      </w:r>
    </w:p>
    <w:p>
      <w:pPr>
        <w:spacing w:before="240" w:after="120"/>
      </w:pPr>
      <w:r>
        <w:rPr>
          <w:b/>
          <w:color w:val="2B548A"/>
          <w:sz w:val="24"/>
        </w:rPr>
        <w:t>제35조 (안전한 개발 및 시험)</w:t>
      </w:r>
    </w:p>
    <w:p>
      <w:pPr>
        <w:spacing w:before="40" w:after="120" w:line="276" w:lineRule="auto"/>
      </w:pPr>
      <w:r>
        <w:rPr>
          <w:sz w:val="19"/>
        </w:rPr>
        <w:t>① 개발·운영·시험 환경은 상호 물리적/논리적으로 분리한다. 시험 환경에는 운영(실 이용기관) 데이터의 사용을 원칙적으로 금지한다.</w:t>
        <w:br/>
        <w:t>② 소스코드 구현 시 시큐어 코딩 가이드를 준수하며, 운영 배포 전 정적/동적 취약점 점검(SAST/DAST)을 실시하여 조치한다.</w:t>
      </w:r>
    </w:p>
    <w:p>
      <w:pPr>
        <w:spacing w:before="240" w:after="120"/>
      </w:pPr>
      <w:r>
        <w:rPr>
          <w:b/>
          <w:color w:val="2B548A"/>
          <w:sz w:val="24"/>
        </w:rPr>
        <w:t>제36조 (외주 개발 및 외산 SW 도입 보안)</w:t>
      </w:r>
    </w:p>
    <w:p>
      <w:pPr>
        <w:spacing w:before="40" w:after="120" w:line="276" w:lineRule="auto"/>
      </w:pPr>
      <w:r>
        <w:rPr>
          <w:sz w:val="19"/>
        </w:rPr>
        <w:t>외주 개발 완료 시 소스코드 보안성 검토 및 취약점 점검을 필수적으로 완료한 후 운영 환경에 배포한다.</w:t>
      </w:r>
    </w:p>
    <w:p>
      <w:pPr>
        <w:spacing w:before="360" w:after="160"/>
      </w:pPr>
      <w:r>
        <w:rPr>
          <w:b/>
          <w:color w:val="1B365D"/>
          <w:sz w:val="30"/>
        </w:rPr>
        <w:t>제15장 공공기관 추가 보안요구사항</w:t>
      </w:r>
    </w:p>
    <w:p>
      <w:pPr>
        <w:spacing w:before="240" w:after="120"/>
      </w:pPr>
      <w:r>
        <w:rPr>
          <w:b/>
          <w:color w:val="2B548A"/>
          <w:sz w:val="24"/>
        </w:rPr>
        <w:t>제37조 (공공기관 특화 통제)</w:t>
      </w:r>
    </w:p>
    <w:p>
      <w:pPr>
        <w:spacing w:before="40" w:after="120" w:line="276" w:lineRule="auto"/>
      </w:pPr>
      <w:r>
        <w:rPr>
          <w:sz w:val="19"/>
        </w:rPr>
        <w:t>① 공공기관 대상 클라우드 서비스 제공 시, 국가·공공기관 용 검증필 암호모듈(KCMVP) 사용 등 관련 고시 및 국정원/KISA 추가 보안 가이드라인을 이행한다.</w:t>
        <w:br/>
        <w:t>② 공공 이용기관 데이터는 대한민국 영역 내 위치한 데이터센터 내에만 저장·처리되도록 국외 이전을 엄격히 금지한다.</w:t>
      </w:r>
    </w:p>
    <w:p>
      <w:pPr>
        <w:spacing w:before="360" w:after="160"/>
      </w:pPr>
      <w:r>
        <w:rPr>
          <w:b/>
          <w:color w:val="1B365D"/>
          <w:sz w:val="30"/>
        </w:rPr>
        <w:t>제16장 보칙</w:t>
      </w:r>
    </w:p>
    <w:p>
      <w:pPr>
        <w:spacing w:before="240" w:after="120"/>
      </w:pPr>
      <w:r>
        <w:rPr>
          <w:b/>
          <w:color w:val="2B548A"/>
          <w:sz w:val="24"/>
        </w:rPr>
        <w:t>제38조 (위반 시 조치)</w:t>
      </w:r>
    </w:p>
    <w:p>
      <w:pPr>
        <w:spacing w:before="40" w:after="120" w:line="276" w:lineRule="auto"/>
      </w:pPr>
      <w:r>
        <w:rPr>
          <w:sz w:val="19"/>
        </w:rPr>
        <w:t>본 정책서 및 하위 지침을 위반하여 회사 및 이용기관에 보안 사고나 손해를 입힌 자는 회사의 「상벌규정」 및 관계 법령에 따라 징계 및 손해배상 책임을 진다.</w:t>
      </w:r>
    </w:p>
    <w:p>
      <w:pPr>
        <w:spacing w:before="240" w:after="120"/>
      </w:pPr>
      <w:r>
        <w:rPr>
          <w:b/>
          <w:color w:val="2B548A"/>
          <w:sz w:val="24"/>
        </w:rPr>
        <w:t>제39조 (예외 관리)</w:t>
      </w:r>
    </w:p>
    <w:p>
      <w:pPr>
        <w:spacing w:before="40" w:after="120" w:line="276" w:lineRule="auto"/>
      </w:pPr>
      <w:r>
        <w:rPr>
          <w:sz w:val="19"/>
        </w:rPr>
        <w:t>업무상 불가피하게 정책/지침의 예외 적용이 필요한 경우, [예외신청서]를 작성하여 보안성 검토 및 보완통제 수립 후 CISO의 정식 서면 승인을 받아야 한다. 예외 승인 기간은 최대 6개월을 초과할 수 없으며 예외관리대장에 기록·관리한다.</w:t>
      </w:r>
    </w:p>
    <w:p>
      <w:pPr>
        <w:spacing w:before="240" w:after="120"/>
      </w:pPr>
      <w:r>
        <w:rPr>
          <w:b/>
          <w:color w:val="2B548A"/>
          <w:sz w:val="24"/>
        </w:rPr>
        <w:t>제40조 (문서 및 기록의 보존)</w:t>
      </w:r>
    </w:p>
    <w:p>
      <w:pPr>
        <w:spacing w:before="40" w:after="120" w:line="276" w:lineRule="auto"/>
      </w:pPr>
      <w:r>
        <w:rPr>
          <w:sz w:val="19"/>
        </w:rPr>
        <w:t>① 본 정책서 및 하위 지침에 따라 생성되는 제반 운영 기록, 로그, 승인 문서, 점검 결과서 등 증적 자료는 관계 법령에 특별한 규정이 없는 한 최소 3년간 보존한다.</w:t>
        <w:br/>
        <w:t>② 개인정보 관련 로그 및 법적 제출 의무가 있는 기록은 관련 법률이 정한 기간 이상 보존한다.</w:t>
      </w:r>
    </w:p>
    <w:p>
      <w:pPr>
        <w:spacing w:before="240" w:after="120"/>
      </w:pPr>
      <w:r>
        <w:rPr>
          <w:b/>
          <w:color w:val="2B548A"/>
          <w:sz w:val="24"/>
        </w:rPr>
        <w:t>제41조 (시행일)</w:t>
      </w:r>
    </w:p>
    <w:p>
      <w:pPr>
        <w:spacing w:before="40" w:after="120" w:line="276" w:lineRule="auto"/>
      </w:pPr>
      <w:r>
        <w:rPr>
          <w:sz w:val="19"/>
        </w:rPr>
        <w:t>본 정책서는 2026년 11월 01일부터 시행한다.</w:t>
      </w:r>
    </w:p>
    <w:p>
      <w:pPr>
        <w:spacing w:before="360" w:after="160"/>
      </w:pPr>
      <w:r>
        <w:rPr>
          <w:b/>
          <w:color w:val="1B365D"/>
          <w:sz w:val="30"/>
        </w:rPr>
        <w:t>[별표 1] 정보보호 문서체계 및 하위 지침 목록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CSAP 분야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360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지침명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소관 주관부서</w:t>
            </w:r>
          </w:p>
        </w:tc>
      </w:tr>
      <w:tr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1. 정책 및 조직</w:t>
            </w:r>
          </w:p>
        </w:tc>
        <w:tc>
          <w:tcPr>
            <w:tcW w:type="dxa" w:w="172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IS-G-01</w:t>
            </w:r>
          </w:p>
        </w:tc>
        <w:tc>
          <w:tcPr>
            <w:tcW w:type="dxa" w:w="360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정보보호 조직 및 문서관리 지침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정보보호팀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2. 인적보안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IS-G-02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인적보안 지침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인사팀 / 정보보호팀</w:t>
            </w:r>
          </w:p>
        </w:tc>
      </w:tr>
      <w:tr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3. 자산관리</w:t>
            </w:r>
          </w:p>
        </w:tc>
        <w:tc>
          <w:tcPr>
            <w:tcW w:type="dxa" w:w="172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IS-G-04</w:t>
            </w:r>
          </w:p>
        </w:tc>
        <w:tc>
          <w:tcPr>
            <w:tcW w:type="dxa" w:w="360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정보자산 관리 지침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IT운영팀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3. 위험관리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IS-G-06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정보보호 위험관리 지침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정보보호팀</w:t>
            </w:r>
          </w:p>
        </w:tc>
      </w:tr>
      <w:tr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4. 공급망 관리</w:t>
            </w:r>
          </w:p>
        </w:tc>
        <w:tc>
          <w:tcPr>
            <w:tcW w:type="dxa" w:w="172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IS-G-03</w:t>
            </w:r>
          </w:p>
        </w:tc>
        <w:tc>
          <w:tcPr>
            <w:tcW w:type="dxa" w:w="360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서비스 공급망 관리 지침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정보보호팀 / 구매팀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5. 침해사고 관리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IS-G-07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침해사고 대응 지침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정보보호팀 / IT운영팀</w:t>
            </w:r>
          </w:p>
        </w:tc>
      </w:tr>
      <w:tr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6. 서비스 연속성</w:t>
            </w:r>
          </w:p>
        </w:tc>
        <w:tc>
          <w:tcPr>
            <w:tcW w:type="dxa" w:w="172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IS-G-08</w:t>
            </w:r>
          </w:p>
        </w:tc>
        <w:tc>
          <w:tcPr>
            <w:tcW w:type="dxa" w:w="360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서비스 연속성 관리 지침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IT운영팀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7. 준거성 및 감사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IS-G-09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준거성 및 보안감사 지침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정보보호팀</w:t>
            </w:r>
          </w:p>
        </w:tc>
      </w:tr>
      <w:tr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8. 물리적 보안</w:t>
            </w:r>
          </w:p>
        </w:tc>
        <w:tc>
          <w:tcPr>
            <w:tcW w:type="dxa" w:w="172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IS-G-10</w:t>
            </w:r>
          </w:p>
        </w:tc>
        <w:tc>
          <w:tcPr>
            <w:tcW w:type="dxa" w:w="360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물리적 보안 지침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총무팀 / IT운영팀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9. 가상화 보안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IS-G-11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가상화 보안 지침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IT운영팀</w:t>
            </w:r>
          </w:p>
        </w:tc>
      </w:tr>
      <w:tr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10. 접근통제</w:t>
            </w:r>
          </w:p>
        </w:tc>
        <w:tc>
          <w:tcPr>
            <w:tcW w:type="dxa" w:w="172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IS-G-05</w:t>
            </w:r>
          </w:p>
        </w:tc>
        <w:tc>
          <w:tcPr>
            <w:tcW w:type="dxa" w:w="360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접근통제 지침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IT운영팀 / 정보보호팀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11. 네트워크 보안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IS-G-12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네트워크 보안 지침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IT운영팀</w:t>
            </w:r>
          </w:p>
        </w:tc>
      </w:tr>
      <w:tr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12. 데이터 및 암호화</w:t>
            </w:r>
          </w:p>
        </w:tc>
        <w:tc>
          <w:tcPr>
            <w:tcW w:type="dxa" w:w="172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IS-G-13</w:t>
            </w:r>
          </w:p>
        </w:tc>
        <w:tc>
          <w:tcPr>
            <w:tcW w:type="dxa" w:w="360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데이터 보호 및 암호화 지침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IT개발팀 / IT운영팀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12. 개인정보 보호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IS-G-16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개인정보 보호 지침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정보보호팀</w:t>
            </w:r>
          </w:p>
        </w:tc>
      </w:tr>
      <w:tr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13. 개발/도입 보안</w:t>
            </w:r>
          </w:p>
        </w:tc>
        <w:tc>
          <w:tcPr>
            <w:tcW w:type="dxa" w:w="172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IS-G-14</w:t>
            </w:r>
          </w:p>
        </w:tc>
        <w:tc>
          <w:tcPr>
            <w:tcW w:type="dxa" w:w="360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시스템 개발 및 도입 보안 지침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IT개발팀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14. 공공기관 요구사항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IS-G-15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공공기관 보안요구사항 이행 지침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정보보호팀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