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b w:val="1"/>
          <w:bCs w:val="1"/>
          <w:color w:val="1b365d"/>
          <w:sz w:val="44"/>
          <w:szCs w:val="44"/>
          <w:rtl w:val="0"/>
        </w:rPr>
        <w:t xml:space="preserve">주식회사 SJC 정보보호(개인정보보호) 정책서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CSAP 클라우드서비스 보안인증 대응 및 IS-P-01 v1.0 정식 종합 최적화 표준본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문서명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정보보호(개인정보보호) 정책서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문서번호 / 사규번호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IS-P-01 / 4100-P01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v1.0 (최종 종합 교차검증본)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보안등급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사내한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주관부서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정보보호부 보안정책팀 (정보보호 전담 조직)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승인자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정보보호최고책임자 (CISO)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제정일 / 시행일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2026. 10. 26. / 2026. 11. 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다음 검토 예정일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2027. 10. 25. (연 1회 이상 정기검토)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적용 서비스 / 인증유형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SJC 클라우드 서비스 / CSAP SaaS 표준등급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문서 승인 및 개정 관리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부서·직위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서명/의결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정보보호부 보안정책팀 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홍길동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2026. 10. 26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(서명)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정보보호부장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김철수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2026. 10. 26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(서명)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합의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경영지원본부장 / IT운영본부장 / 개발본부장 / 준법감시부장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이영희</w:t>
            </w:r>
          </w:p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강감찬</w:t>
            </w:r>
          </w:p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계백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이순신</w:t>
            </w:r>
          </w:p>
        </w:tc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2026. 10. 26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(서명)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심의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정보보호위원회 (제2026-04회)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위원장 박보안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2026. 10. 26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(의결)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정보보호최고책임자 (CISO)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박보안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2026. 10. 26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(서명)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보고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대표이사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대표이사 권신협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2026. 10. 27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(보고완료)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제1장 총칙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제1조 (목적)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이 정책서는 주식회사 SJC(이하 “회사”라 한다)의 정관 제39조 및 「정보보호 및 전산보안규정」에 따라 회사가 제공하는 클라우드 서비스와 이를 운영·지원하는 조직, 인력, 정보자산을 보호하기 위한 정보보호 및 개인정보 보호의 기본 원칙을 정하고, 하위 시행문서(지침·절차·서식)의 근거를 마련함을 목적으로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제2조 (적용범위)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인원: 회사의 임직원, 파견직, 대상 서비스의 개발·운영·유지보수에 참여하는 외주·협력업체 인력 및 공급자 인력 전원에 적용한다.</w:t>
        <w:br w:type="textWrapping"/>
        <w:t xml:space="preserve">② 자산·서비스: 회사의 인증 범위에 포함되는 정보시스템, 가상자원(VM, 컨테이너, DB 등), 이용기관 데이터, 관리용 단말, 운영 공간 및 사업 지원 업무 전반에 적용한다.</w:t>
        <w:br w:type="textWrapping"/>
        <w:t xml:space="preserve">③ 공유책임 경계: IaaS 사업자 책임 영역(물리적 데이터센터, 하이퍼바이저 등)은 IaaS 사업자의 CSAP 인증서 및 SLA로 확인하고, 회사는 운영체제(OS) 이상의 계층, 가상 네트워크, 계정·권한, 애플리케이션, 데이터 및 관리 단말의 보안을 책임진다. 이용기관은 이용기관 계정 및 업무 데이터 입력의 적정성을 책임진다.</w:t>
        <w:br w:type="textWrapping"/>
        <w:t xml:space="preserve">④ 시스템 경계 및 세부 공유책임 범위는 인증범위 명세서 및 이용 계약서에 확정하여 관리한다.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제3조 (용어의 정의)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1. “정보자산”이란 회사의 클라우드 서비스 제공에 사용되는 물리 장비, 가상자원(VM·컨테이너 이미지·관리형 서비스 등), 소프트웨어, 데이터 및 관리 문서를 말한다.</w:t>
        <w:br w:type="textWrapping"/>
        <w:t xml:space="preserve">2. “주요직무자”란 서비스 운영, 개발, 접근권한 관리, 보안 설정 등 핵심 정보자산 및 이용기관 데이터에 직접적인 영향을 미칠 수 있는 직무를 수행하는 자를 말한다.</w:t>
        <w:br w:type="textWrapping"/>
        <w:t xml:space="preserve">3. “공급자”란 서비스 제공에 필요한 인프라(IaaS), 소프트웨어, 외주개발, 보안관제 등을 공급하는 외부 사업자를 말한다.</w:t>
        <w:br w:type="textWrapping"/>
        <w:t xml:space="preserve">4. “이용기관”이란 회사의 클라우드 서비스를 이용하는 공공기관 및 기업 고객을 말한다.</w:t>
        <w:br w:type="textWrapping"/>
        <w:t xml:space="preserve">5. “개인정보” 및 “개인정보처리자” 등 법령상 용어는 개인정보 보호법 등 관계 법령의 정의에 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제4조 (정보보호 기본 원칙)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회사는 다음 7대 원칙에 따라 정보보호 및 개인정보 보호 업무를 수행한다.</w:t>
        <w:br w:type="textWrapping"/>
        <w:t xml:space="preserve">1. 최소권한 부여 및 직무 분리의 원칙</w:t>
        <w:br w:type="textWrapping"/>
        <w:t xml:space="preserve">2. 위험 평가에 기반한 보완통제 적용</w:t>
        <w:br w:type="textWrapping"/>
        <w:t xml:space="preserve">3. 다층 방어(Defense in Depth) 및 안전한 기본 설정</w:t>
        <w:br w:type="textWrapping"/>
        <w:t xml:space="preserve">4. 공유책임 경계의 명확화</w:t>
        <w:br w:type="textWrapping"/>
        <w:t xml:space="preserve">5. 이용기관 데이터의 논리적 테넌트 분리 및 지정 구역 내 처리</w:t>
        <w:br w:type="textWrapping"/>
        <w:t xml:space="preserve">6. 모든 주요 통제 이행의 기록 보존 및 증명 가능성</w:t>
        <w:br w:type="textWrapping"/>
        <w:t xml:space="preserve">7. 개인정보 처리 목적·범위의 명확화 및 최소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제5조 (문서체계 및 상위 규정 특례)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회사의 정보보호 문서체계는 본 정책서(IS-P-01)를 최상위 문서로 하며, 그 아래 분야별 지침(IS-G), 세부 절차서(IS-S), 서식 및 운영기록(IS-F)을 둔다. (하위 지침 목록 및 실행 주관부서는 [별표 1] 참조)</w:t>
        <w:br w:type="textWrapping"/>
        <w:t xml:space="preserve">② 회사의 「사규관리규정」 및 「위임전결규정」의 일반적 전결 기준에도 불구하고, CSAP 인증기준(1.1.1) 충족을 위하여 정보보호 정책 및 시행문서(지침)의 제·개정은 정보보호위원회의 심의를 거쳐 CISO가 최종 승인한다. 중요한 변경사항은 대표이사에게 보고한다.</w:t>
        <w:br w:type="textWrapping"/>
        <w:t xml:space="preserve">③ 하위 지침 및 절차서는 본 정책서와 상위 사규 및 관계 법령에서 정한 보호 수준을 완화하여 규정할 수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제2장 정보보호 조직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제6조 (정보보호위원회)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회사는 정보보호 및 개인정보 보호에 관한 주요 사항을 심의하기 위해 최고경영진 및 관련 본부장/부서장으로 구성된 정보보호위원회를 운영한다.</w:t>
        <w:br w:type="textWrapping"/>
        <w:t xml:space="preserve">② 정보보호위원회는 매 분기 1회 이상(연 4회 정기) 개최하며, 정책·지침 제개정, 위험평가 결과, 침해사고/장애 대응 결과, 공급자 평가, 보안감사 결과를 심의·의결한다.</w:t>
        <w:br w:type="textWrapping"/>
        <w:t xml:space="preserve">③ 위원회 개최 시 안건, 참석자, 의결사항, 조치계획이 포함된 회의록을 작성하여 3년간 보존한다.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제7조 (정보보호최고책임자 및 개인정보 보호책임자)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회사는 대표이사 직속으로 정보보호최고책임자(CISO)를 지정하며, CISO 소속의 독립된 정보보호부(보안정책팀/보안관제팀/개인정보보호팀/보안운영팀)를 둔다. CISO는 IT 개발 및 운영 직무와 역할상 독립되어야 한다.</w:t>
        <w:br w:type="textWrapping"/>
        <w:t xml:space="preserve">② 회사는 개인정보 보호법 제31조에 따라 개인정보 보호책임자(CPO)를 지정한다. 정보보호부 내 개인정보보호팀이 실무를 지원하며, CISO와 CPO의 겸직 및 지정 요건은 관계 법령과 회사의 직제 기준을 준수한다.</w:t>
        <w:br w:type="textWrapping"/>
        <w:t xml:space="preserve">③ CISO는 연 1회 이상 회사 정보보호 현황 및 주요 잔여위험을 대표이사에게 보고하며, 중대한 침해사고 또는 서비스 위험 발생 시 지체 없이 보고한다.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제8조 (조직별 역할과 책임)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SJC 조직도에 따른 부서별 정보보호 역할 및 RACI는 [별표 3]에 따른다.</w:t>
        <w:br w:type="textWrapping"/>
        <w:t xml:space="preserve">② 모든 업무 활동의 최종 책임(Accountable)은 단일 부서(또는 단일 책임자)에게 부여하는 것을 원칙으로 한다.</w:t>
        <w:br w:type="textWrapping"/>
        <w:t xml:space="preserve">③ 감사실은 보안 통제의 운영·실행 업무와 완전 분리되어 독립적으로 점검 및 감사를 수행한다.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제9조 (정책의 검토 및 문서관리)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정보보호부는 연 1회 이상(매년 10월) 본 정책서 및 하위 지침의 적정성을 정기 검토한다. 법령·인증기준 개정, 중대 사고, 조직·서비스의 중요 변경, 감사 지적 시에는 수시 검토를 실시한다.</w:t>
        <w:br w:type="textWrapping"/>
        <w:t xml:space="preserve">② 제·개정 이력, 승인 기록 및 구버전을 관리하고 최신 승인본을 사내 정보보호 포털에 게시하여 임직원과 관련 외부인력이 열람할 수 있도록 한다.</w:t>
        <w:br w:type="textWrapping"/>
        <w:t xml:space="preserve">③ 폐기 또는 대체된 구버전은 현행본과 혼동되지 않도록 구분하고 사규 관리 기준에 따라 보존한다.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제3장 인적보안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제10조 (채용 및 비밀유지서약)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경영지원본부 인사팀은 신규 입사자, 파견직, 외주인력 합류 시 보안 의무가 포함된 근로계약 및 서약서를 체결한다.</w:t>
        <w:br w:type="textWrapping"/>
        <w:t xml:space="preserve">② 모든 인력은 입사/합류 시, 주요직무자 지정 시, 퇴사 시 비밀유지서약서(보안서약서)를 서명·제출해야 하며, 미제출 시 정보자산 접근권한 부여를 금지한다.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제11조 (주요직무자 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정보보호부는 대상 서비스의 OS/DB/네트워크/보안장비 설정 및 이용기관 데이터에 접근할 수 있는 직무를 '주요직무'로 지정하고 목록을 관리한다.</w:t>
        <w:br w:type="textWrapping"/>
        <w:t xml:space="preserve">② 주요직무자 지정은 최소 인원으로 제한하며, 외부인력의 지정은 불가피한 경우로 한정한다. 주요직무자 목록과 실제 접근권한은 연 1회 이상 대조·검증한다.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제12조 (직무분리)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개발과 운영 배포, 권한 신청과 승인, 보안 설정과 독립 감사 등 상호 견제에 필요한 업무는 엄격히 분리한다.</w:t>
        <w:br w:type="textWrapping"/>
        <w:t xml:space="preserve">② 인력 부재 등으로 불가피하게 직무분리가 어려운 경우 사유와 기간을 기록하고, 정보보호위원회 승인 및 상호 검토·로그 점검 등 보완통제를 적용한다. 세부 기준은 「접근통제 지침」(IS-G-05)에 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제13조 (인사변경 및 퇴직)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인사팀은 퇴직·휴직·전보 등 인사발령을 발령 확정 당일에 IT운영본부 및 정보보호부에 통보한다.</w:t>
        <w:br w:type="textWrapping"/>
        <w:t xml:space="preserve">② IT운영본부는 퇴직·휴직자의 계정을 발령 당일 즉시 잠금 처리하고, 전보자의 기존 권한은 24시간 이내 새 직무에 맞게 일괄 회수·조정한다.</w:t>
        <w:br w:type="textWrapping"/>
        <w:t xml:space="preserve">③ 퇴직자는 지급받은 정보자산, 출입증, 보안토큰을 반납하고 최종 퇴직 보안서약서를 제출한다.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제14조 (외부인력 보안)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외주·협력업체와 계약 시 보안 요구사항, 비밀유지, 위반 시 책임, 사고 통지, 재위탁 조건 및 회사의 점검 권한을 계약서에 명시한다.</w:t>
        <w:br w:type="textWrapping"/>
        <w:t xml:space="preserve">② 정보보호부는 외부인력의 보안 준수 현황을 반기 1회 이상 점검하고, 계약 종료 시 자산 반납, 계정 회수, 데이터 반환·파기 및 비밀유지 확약을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제15조 (정보보호 교육)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정보보호부는 연간 정보보호 교육계획을 수립하여 CISO 승인을 받고 인사팀 교육담당과 함께 시행한다.</w:t>
        <w:br w:type="textWrapping"/>
        <w:t xml:space="preserve">② 모든 임직원 및 외부인력은 연 1회(최소 6시간) 이상, 주요직무자 및 개인정보취급자는 직무별 심화교육을 추가 이수하며, 신규 입사자는 업무 시작 전에 교육을 받는다.</w:t>
        <w:br w:type="textWrapping"/>
        <w:t xml:space="preserve">③ 교육 이수 기록과 이해도 평가 결과를 남기고 미이수자에 대한 보완교육을 실시하여 차년도 계획에 반영한다.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제4장 자산관리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제16조 (자산의 식별과 분류)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회사는 클라우드 서비스 제공에 투입되는 물리 장비, 가상자원(VM, 컨테이너, Pod 등), S/W, 데이터, API 등을 포함한 정보자산목록을 작성하고 관리책임자를 지정한다.</w:t>
        <w:br w:type="textWrapping"/>
        <w:t xml:space="preserve">② 가상자원의 생명주기(생성-변경-삭제)를 관리하고, 미사용 가상자원은 즉시 파기하여 고아 자원(Orphaned assets) 방지 및 공유책임 경계를 명확히 표시한다.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제17조 (중요도 평가와 등급)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모든 정보자산은 기밀성, 무결성, 가용성 요소 및 법적 요구사항을 기준으로 중요도를 평가하여 3단계(1등급: 상, 2등급: 중, 3등급: 하)로 분류하며, 등급별 차등화된 접근통제 및 암호화 기준을 적용한다.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제18조 (자산 변경관리)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정보자산의 도입·변경·폐기는 사전 보안성 검토와 결재권자의 승인을 거쳐 이행한다. 이용기관에 영향을 주는 변경은 미리 공지하며, 세부 기준은 「정보자산 관리 지침」(IS-G-04)에 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제19조 (위험관리)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정보보호부는 자산·위협·취약점에 기반한 위험평가 방법을 정하고 연 1회 이상 및 중요 변경 시 위험평가를 수행한다.</w:t>
        <w:br w:type="textWrapping"/>
        <w:t xml:space="preserve">② 수용 가능한 위험수준(DoR)은 정보보호위원회가 정하며, 이를 초과하는 위험은 보호대책·일정·책임자를 정한 이행계획을 수립하여 CISO의 승인을 받아 이행한다.</w:t>
        <w:br w:type="textWrapping"/>
        <w:t xml:space="preserve">③ 위험평가 결과는 위험관리 부서와 공유하여 회사의 운영위험 관리와 연계한다.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제5장 서비스 공급망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제20조 (공급망 관리정책)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정보보호부는 IaaS 사업자, SaaS 연동업체, 보안관제·유지보수 업체 등 공급자 목록을 관리하고 연 1회 이상 보안 상태(인증 유지, SLA 실적)를 평가한다.</w:t>
        <w:br w:type="textWrapping"/>
        <w:t xml:space="preserve">② 공급자 선정 시 보안 평가를 실시하고 계약서에 보안 요구사항, SLA, 사고 통지, 재위탁 제한, 점검 권한 및 계약 종료 시 데이터 반환·파기 조항을 포함한다.</w:t>
        <w:br w:type="textWrapping"/>
        <w:t xml:space="preserve">③ IaaS 사업자의 CSAP(IaaS) 인증 유효성을 확인하고 공유책임 범위를 계약 또는 SLA에 명시한다.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제21조 (공급자 이행 점검 및 SW 취약점 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정보보호부는 연 1회 이상 공급자의 보안 이행 상태를 점검하고 결과를 정보보호위원회에 보고한다.</w:t>
        <w:br w:type="textWrapping"/>
        <w:t xml:space="preserve">② 오픈소스 및 상용 소프트웨어의 구성요소 목록(SBOM)을 유지하고 공급자의 보안 공지 및 발표 취약점에 지체 없이 대응한다.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제22조 (공급망 변경관리)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공급자 교체, 재위탁, 서비스 범위·위치 변경 등 공급망 변경은 사전에 위험을 평가하여 CISO 승인을 받으며, 이용기관에 영향이 있으면 미리 공지한다.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제6장 침해사고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제23조 (대응 체계)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정보보호부는 24시간 365일 침해사고 대응조직(CERT)과 비상연락망을 정하고, IaaS 사업자·관제 사업자와의 협조 절차를 포함하여 연 1회 이상 모의훈련을 실시한다.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제24조 (탐지·대응·통지)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보안관제팀은 이상징후를 상시 탐지하며, 사고 인지 시 차단·증거보존·원인분석·복구를 정해진 절차에 따라 수행한다.</w:t>
        <w:br w:type="textWrapping"/>
        <w:t xml:space="preserve">② 사고 발생 시 관계 법령(클라우드컴퓨팅법, 개인정보 보호법 등) 및 계약에서 정한 기한 내에 관할 기관(KISA, 개인정보보호위원회 등) 및 피해 이용기관에 통지·신고한다.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제25조 (사후관리)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사고 종료 후 원인, 영향, 조치 내용, 재발방지 대책을 작성하여 정보보호위원회에 보고하고 개선 조치 완료 여부를 지속 추적·확인한다.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제7장 서비스 연속성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제26조 (장애대응)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IT운영본부는 장애 등급별 대응 절차, 보고 체계, 이용기관 통지 기준을 정하고 장애 처리 기록 및 원인분석 결과를 유지한다. 중대 장애는 경영진 및 위원회에 보고한다.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제27조 (가용성과 백업·복구)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IT운영본부는 성능 및 용량을 모니터링하고 SLA 가용성 목표를 관리한다.</w:t>
        <w:br w:type="textWrapping"/>
        <w:t xml:space="preserve">② 주요 데이터 및 인프라 백업 정책을 실행하여 백업 데이터를 소외 보관한다.</w:t>
        <w:br w:type="textWrapping"/>
        <w:t xml:space="preserve">③ 연 1회 이상 재해복구(DR) 모의훈련 및 복구 테스트를 실시하여 RTO(복구목표시간) 및 RPO(복구목표시점) 준수 여부를 검증한다.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제8장 준거성 및 보안감사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제28조 (법규 준수)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정보보호부는 준법감시부와 함께 적용 법령(개인정보 보호법, 클라우드컴퓨팅법, 전자금융거래법 등) 및 계약 요구사항 목록을 관리하고 연 1회 이상 준수 여부를 검토한다.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제29조 (보안 감사)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정보보호부는 연 1회 이상 정책·지침 이행 여부를 내부 점검한다.</w:t>
        <w:br w:type="textWrapping"/>
        <w:t xml:space="preserve">② 감사실은 내부 점검과 별도로 독립적인 보안 감사를 수행하고 지적 사항 조치 결과를 확인하여 정보보호위원회에 보고한다.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제9장 물리적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제30조 (물리적 보호)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IaaS 데이터센터의 물리적 보호는 IaaS 사업자의 CSAP 인증으로 확인하며 연 1회 이상 증적을 확인한다.</w:t>
        <w:br w:type="textWrapping"/>
        <w:t xml:space="preserve">② 회사의 본사 사무실, 관리 단말 구역, 개발실 등 회사 책임 구역은 총무팀이 보호구역으로 지정하여 출입통제 및 기록 관리를 실시한다.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제10장 가상화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제31조 (가상화 보안 및 테넌트 격리)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IT운영본부는 가상화·컨테이너 플랫폼 보안기준을 정하고 검증된 이미지·템플릿만 사용한다.</w:t>
        <w:br w:type="textWrapping"/>
        <w:t xml:space="preserve">② 이용기관별 가상자원은 논리적으로 철저히 분리하고 생성·변경·삭제 이력을 관리한다. 자원 반납 시 잔존 데이터가 없도록 안전하게 파기 처리한다.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제11장 접근통제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제32조 (접근통제 및 인증)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모든 사용자 및 관리자는 1인 1계정을 원칙으로 하며 공용계정 사용을 금지한다.</w:t>
        <w:br w:type="textWrapping"/>
        <w:t xml:space="preserve">② 시스템 및 관리 콘솔 접근 시 2차 인증(MFA)을 필수 적용한다.</w:t>
        <w:br w:type="textWrapping"/>
        <w:t xml:space="preserve">③ 최소권한 원칙에 따라 권한을 부여하며, 분기 1회 이상 권한 적정성을 검토하여 불필요 권한을 즉시 회수한다. (세부는 「접근통제 지침」(IS-G-05) 준수)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제12장 네트워크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제33조 (네트워크 보안)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IT운영본부는 운영·개발·관리·외부망을 분리하고 경계 접근통제 및 침입탐지를 적용한다. 방화벽 규칙은 반기 1회 검토하며 외부 통신 구간은 암호화한다.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제13장 데이터 보호 및 암호화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제34조 (데이터 보호 및 테넌트 분리)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이용기관 데이터 소유권은 이용기관에 있음을 계약에 명시하고 이용기관 간 데이터는 논리적으로 분리 보관한다.</w:t>
        <w:br w:type="textWrapping"/>
        <w:t xml:space="preserve">② 개인정보는 「개인정보 보호 지침(내부관리계획)」(IS-G-16)에 따라 수집부터 파기까지 전 생애주기를 관리한다.</w:t>
        <w:br w:type="textWrapping"/>
        <w:t xml:space="preserve">③ 계약 종료 시 30일 이내 데이터를 영구 삭제하고 파기 확인서를 발급한다.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제35조 (매체 보안)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이동식 저장매체는 승인된 것만 사용하며 반출 시 암호화한다. 폐기 시 완전삭제 또는 물리적 파괴 후 기록을 남긴다.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제36조 (암호화와 키 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주요정보는 저장·전송 시 안전한 암호 알고리즘(AES-256 등)을 적용하며, 암호키는 KMS를 통해 생명주기 절차에 따라 안전하게 관리한다.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제14장 시스템 개발 및 도입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제37조 (개발 보안)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IT개발본부는 분석·설계 단계부터 보안 요구사항을 정의하고 시큐어코딩 및 배포 전 취약점 점검(SAST/DAST)을 수행한다.</w:t>
        <w:br w:type="textWrapping"/>
        <w:t xml:space="preserve">② 개발·운영 환경을 분리하고 운영 데이터의 시험 사용을 금지한다.</w:t>
        <w:br w:type="textWrapping"/>
        <w:t xml:space="preserve">③ 운영 배포는 IT운영본부가 승인된 변경건만 배포한다.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제38조 (외주 개발 및 도입 보안)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외주 개발 산출물 보안점검을 의무화하고 소스코드는 회사가 직접 관리한다. 신규 시스템 도입 시 정보보호부의 사전 보안성 검토를 거친다.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제15장 공공기관 추가 보안요구사항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제39조 (공공기관용 추가 보호조치)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공공기관 대상 서비스 시 국내 데이터센터 설치, 민간 테넌트와의 분리, KCMVP 검증 암호모듈 사용 등 공공 특화 통제를 적용한다. 세부는 「공공기관 보안요구사항 이행 지침」(IS-G-15)에 따른다.</w:t>
        <w:br w:type="textWrapping"/>
        <w:t xml:space="preserve">② 공공 이용기관 데이터의 국외 이전을 엄격히 금지한다.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제16장 보칙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제40조 (예외 승인)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지침 준수가 불가능한 경우 신청서 작성 후 CISO 승인으로 최대 6개월 이내 예외를 인정하며 보완통제를 적용하여 예외승인대장에 기록·관리한다.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제41조 (위반 시 조치 및 보존)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① 위반 임직원은 취업규칙 및 상벌규정에 따라 조치하며 외부인력은 계약에 따라 조치한다.</w:t>
        <w:br w:type="textWrapping"/>
        <w:t xml:space="preserve">② 본 정책서 및 하위 문서에 따른 운영 기록 및 증적 자료는 관계 법령에 특별한 규정이 없는 한 최소 3년간 보존한다.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b548a"/>
          <w:sz w:val="22"/>
          <w:szCs w:val="22"/>
          <w:rtl w:val="0"/>
        </w:rPr>
        <w:t xml:space="preserve">부칙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40" w:line="27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이 정책서는 2026년 11월 01일부터 시행한다.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[별표 1] SJC 정보보호 하위 지침 체계 및 주관부서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CSAP 분야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문서번호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지침명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실행 주관부서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주요 협의부서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조직과 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 조직 및 문서관리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정보보호부 보안정책팀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경영지원본부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인적보안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인적보안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경영지원본부 인사팀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법무부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 자산관리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정보자산 관리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경영지원본부 총무팀 / IT운영본부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재무회계부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 위험관리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 위험관리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정보보호부 보안정책팀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위험관리부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 공급망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서비스 공급망 관리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경영지원본부 구매팀 / 정보보호부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법무부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 침해사고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침해사고 대응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정보보호부 보안관제팀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IT운영본부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 서비스 연속성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서비스 연속성 관리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IT운영본부 시스템·클라우드운영팀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위험관리부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 준거성 및 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준거성 및 보안감사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감사실 / 정보보호부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준법감시부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 물리적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물리적 보안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경영지원본부 총무팀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 가상화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가상화 보안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IT운영본부 클라우드운영팀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10. 접근통제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접근통제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정보보호부 보안운영팀 / IT운영본부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인사팀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11. 네트워크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네트워크 보안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IT운영본부 네트워크팀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12. 데이터 보호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데이터 보호 및 암호화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개발본부 AI·데이터팀 / 정보보호부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법무부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12. 개인정보 보호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개인정보 보호 지침 (내부관리계획)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정보보호부 개인정보보호팀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준법감시부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13. 개발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시스템 개발 및 도입 보안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개발본부 (응용/플랫폼/인프라)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14. 공공기관 요구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공공기관 보안요구사항 이행 지침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정보보호부 보안정책팀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IT운영본부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[별표 2] CSAP 통제항목과 정책서 조항 매핑표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CSAP 통제 분야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적용성(SaaS)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정책서 충족 조항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연계 하위 지침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정보보호 정책 및 조직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제1조 ~ 제9조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인적보안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 (2.2 자체통제)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제10조 ~ 제15조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IS-G-02, IS-G-03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 자산관리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제16조 ~ 제19조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IS-G-04, IS-G-06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 서비스 공급망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제20조 ~ 제22조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 침해사고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제23조 ~ 제25조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 서비스 연속성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제26조 ~ 제27조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 준거성 및 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제28조 ~ 제29조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 물리적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× (공유책임/자체관리)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제30조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 가상화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제31조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10. 접근통제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제32조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11. 네트워크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제33조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12. 데이터 보호 및 암호화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제34조 ~ 제36조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IS-G-13, IS-G-16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13. 시스템 개발 및 도입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제37조 ~ 제38조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14. 공공기관 추가 보안요구사항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○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제39조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6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IS-G-15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6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[별표 3] SJC 주요 부서별 역할·책임 및 RACI Matrix</w:t>
      </w:r>
      <w:r w:rsidDel="00000000" w:rsidR="00000000" w:rsidRPr="00000000">
        <w:rPr>
          <w:rtl w:val="0"/>
        </w:rPr>
      </w:r>
    </w:p>
    <w:tbl>
      <w:tblPr>
        <w:tblStyle w:val="Table5"/>
        <w:tblW w:w="9359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핵심 업무 활동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정보보호부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IT운영본부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개발본부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경영지원본부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감사실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정보보호 정책 및 지침 제·개정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정기 위험평가 및 보호대책 수립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계정 및 접근권한 반영·회수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인프라 및 가상자원 설정·변경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시큐어코딩 및 보안 취약점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임직원/외부인력 보안교육·서약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침해사고 대응 및 사후보고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장애대응 및 DR 복구훈련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독립 보안감사 및 후속점검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물리적 출입통제 및 구역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40.0" w:type="dxa"/>
              <w:bottom w:w="70.0" w:type="dxa"/>
              <w:right w:w="4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33333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ZsH6t0TB/nfZWXQCHiJj2BPL6g==">CgMxLjA4AHIhMUV0T25teUJTd2M4QXlDNm9SenV4U2hCbkxwQ1hZUFJy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